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7835" w14:textId="08CE3CC7" w:rsidR="00EE4AF7" w:rsidRPr="00BC5F1C" w:rsidRDefault="00BC5F1C">
      <w:pPr>
        <w:rPr>
          <w:rFonts w:ascii="Times New Roman" w:hAnsi="Times New Roman" w:cs="Times New Roman"/>
          <w:b/>
        </w:rPr>
      </w:pPr>
      <w:r w:rsidRPr="00BC5F1C">
        <w:rPr>
          <w:rFonts w:ascii="Times New Roman" w:hAnsi="Times New Roman" w:cs="Times New Roman"/>
          <w:b/>
        </w:rPr>
        <w:t>Priemonės „</w:t>
      </w:r>
      <w:r w:rsidR="00075309">
        <w:rPr>
          <w:rFonts w:ascii="Times New Roman" w:hAnsi="Times New Roman" w:cs="Times New Roman"/>
          <w:b/>
        </w:rPr>
        <w:t>Portfelinės garantijos paskoloms 2</w:t>
      </w:r>
      <w:r w:rsidRPr="00BC5F1C">
        <w:rPr>
          <w:rFonts w:ascii="Times New Roman" w:hAnsi="Times New Roman" w:cs="Times New Roman"/>
          <w:b/>
        </w:rPr>
        <w:t xml:space="preserve">“ sąlygų viešo aptarimo metu gautos pastabos (2020 03 </w:t>
      </w:r>
      <w:r w:rsidR="00075309">
        <w:rPr>
          <w:rFonts w:ascii="Times New Roman" w:hAnsi="Times New Roman" w:cs="Times New Roman"/>
          <w:b/>
        </w:rPr>
        <w:t>30</w:t>
      </w:r>
      <w:r w:rsidRPr="00BC5F1C">
        <w:rPr>
          <w:rFonts w:ascii="Times New Roman" w:hAnsi="Times New Roman" w:cs="Times New Roman"/>
          <w:b/>
        </w:rPr>
        <w:t>)</w:t>
      </w:r>
    </w:p>
    <w:tbl>
      <w:tblPr>
        <w:tblStyle w:val="TableGrid"/>
        <w:tblpPr w:leftFromText="180" w:rightFromText="180" w:vertAnchor="text" w:horzAnchor="margin" w:tblpX="-289" w:tblpY="174"/>
        <w:tblW w:w="12327" w:type="dxa"/>
        <w:tblLayout w:type="fixed"/>
        <w:tblLook w:val="04A0" w:firstRow="1" w:lastRow="0" w:firstColumn="1" w:lastColumn="0" w:noHBand="0" w:noVBand="1"/>
      </w:tblPr>
      <w:tblGrid>
        <w:gridCol w:w="1271"/>
        <w:gridCol w:w="4110"/>
        <w:gridCol w:w="4252"/>
        <w:gridCol w:w="2694"/>
      </w:tblGrid>
      <w:tr w:rsidR="002405A3" w:rsidRPr="00BC5F1C" w14:paraId="7AE61B75" w14:textId="77777777" w:rsidTr="00297A9C">
        <w:trPr>
          <w:trHeight w:val="557"/>
        </w:trPr>
        <w:tc>
          <w:tcPr>
            <w:tcW w:w="1271" w:type="dxa"/>
          </w:tcPr>
          <w:p w14:paraId="62CE7992" w14:textId="77777777" w:rsidR="002405A3" w:rsidRPr="00BC5F1C" w:rsidRDefault="002405A3" w:rsidP="007F1AA0">
            <w:pPr>
              <w:jc w:val="center"/>
              <w:rPr>
                <w:rFonts w:ascii="Times New Roman" w:hAnsi="Times New Roman" w:cs="Times New Roman"/>
                <w:b/>
                <w:sz w:val="18"/>
                <w:szCs w:val="18"/>
              </w:rPr>
            </w:pPr>
            <w:r w:rsidRPr="00BC5F1C">
              <w:rPr>
                <w:rFonts w:ascii="Times New Roman" w:hAnsi="Times New Roman" w:cs="Times New Roman"/>
                <w:b/>
                <w:sz w:val="18"/>
                <w:szCs w:val="18"/>
              </w:rPr>
              <w:t>Nr.</w:t>
            </w:r>
          </w:p>
        </w:tc>
        <w:tc>
          <w:tcPr>
            <w:tcW w:w="4110" w:type="dxa"/>
          </w:tcPr>
          <w:p w14:paraId="11634538" w14:textId="77777777" w:rsidR="002405A3" w:rsidRDefault="002405A3" w:rsidP="001453EC">
            <w:pPr>
              <w:rPr>
                <w:rFonts w:ascii="Times New Roman" w:hAnsi="Times New Roman" w:cs="Times New Roman"/>
                <w:b/>
                <w:sz w:val="18"/>
                <w:szCs w:val="18"/>
              </w:rPr>
            </w:pPr>
            <w:r w:rsidRPr="00BC5F1C">
              <w:rPr>
                <w:rFonts w:ascii="Times New Roman" w:hAnsi="Times New Roman" w:cs="Times New Roman"/>
                <w:b/>
                <w:sz w:val="18"/>
                <w:szCs w:val="18"/>
              </w:rPr>
              <w:t>Priemonės sąlyga</w:t>
            </w:r>
          </w:p>
          <w:p w14:paraId="261ABAAB" w14:textId="4E4C1981" w:rsidR="002405A3" w:rsidRPr="00BC5F1C" w:rsidRDefault="002405A3" w:rsidP="001453EC">
            <w:pPr>
              <w:rPr>
                <w:rFonts w:ascii="Times New Roman" w:hAnsi="Times New Roman" w:cs="Times New Roman"/>
                <w:b/>
                <w:sz w:val="18"/>
                <w:szCs w:val="18"/>
              </w:rPr>
            </w:pPr>
          </w:p>
        </w:tc>
        <w:tc>
          <w:tcPr>
            <w:tcW w:w="4252" w:type="dxa"/>
          </w:tcPr>
          <w:p w14:paraId="6A7809C9" w14:textId="77777777" w:rsidR="002405A3" w:rsidRPr="00BC5F1C" w:rsidRDefault="002405A3" w:rsidP="001453EC">
            <w:pPr>
              <w:rPr>
                <w:rFonts w:ascii="Times New Roman" w:hAnsi="Times New Roman" w:cs="Times New Roman"/>
                <w:b/>
                <w:sz w:val="18"/>
                <w:szCs w:val="18"/>
              </w:rPr>
            </w:pPr>
            <w:r w:rsidRPr="00BC5F1C">
              <w:rPr>
                <w:rFonts w:ascii="Times New Roman" w:hAnsi="Times New Roman" w:cs="Times New Roman"/>
                <w:b/>
                <w:sz w:val="18"/>
                <w:szCs w:val="18"/>
              </w:rPr>
              <w:t>Pastaba/siūlymas</w:t>
            </w:r>
          </w:p>
        </w:tc>
        <w:tc>
          <w:tcPr>
            <w:tcW w:w="2694" w:type="dxa"/>
          </w:tcPr>
          <w:p w14:paraId="1A1C51CB" w14:textId="77777777" w:rsidR="002405A3" w:rsidRPr="00BC5F1C" w:rsidRDefault="002405A3" w:rsidP="001453EC">
            <w:pPr>
              <w:rPr>
                <w:rFonts w:ascii="Times New Roman" w:hAnsi="Times New Roman" w:cs="Times New Roman"/>
                <w:b/>
                <w:sz w:val="18"/>
                <w:szCs w:val="18"/>
              </w:rPr>
            </w:pPr>
            <w:r w:rsidRPr="00BC5F1C">
              <w:rPr>
                <w:rFonts w:ascii="Times New Roman" w:hAnsi="Times New Roman" w:cs="Times New Roman"/>
                <w:b/>
                <w:sz w:val="18"/>
                <w:szCs w:val="18"/>
              </w:rPr>
              <w:t>INVEGOS atsakymas/siūlymas</w:t>
            </w:r>
          </w:p>
        </w:tc>
      </w:tr>
      <w:tr w:rsidR="002405A3" w:rsidRPr="00BC5F1C" w14:paraId="47D3F136" w14:textId="77777777" w:rsidTr="00297A9C">
        <w:tc>
          <w:tcPr>
            <w:tcW w:w="1271" w:type="dxa"/>
            <w:vMerge w:val="restart"/>
          </w:tcPr>
          <w:p w14:paraId="20E3C7BB" w14:textId="587B481F" w:rsidR="002405A3" w:rsidRPr="007F1AA0" w:rsidRDefault="002405A3" w:rsidP="000A458B">
            <w:pPr>
              <w:jc w:val="center"/>
              <w:rPr>
                <w:rFonts w:ascii="Times New Roman" w:hAnsi="Times New Roman" w:cs="Times New Roman"/>
                <w:sz w:val="18"/>
                <w:szCs w:val="18"/>
              </w:rPr>
            </w:pPr>
            <w:r w:rsidRPr="000A458B">
              <w:rPr>
                <w:rFonts w:ascii="Times New Roman" w:hAnsi="Times New Roman" w:cs="Times New Roman"/>
                <w:sz w:val="18"/>
                <w:szCs w:val="18"/>
              </w:rPr>
              <w:t>1</w:t>
            </w:r>
            <w:r w:rsidRPr="007F1AA0">
              <w:rPr>
                <w:rFonts w:ascii="Times New Roman" w:hAnsi="Times New Roman" w:cs="Times New Roman"/>
                <w:sz w:val="18"/>
                <w:szCs w:val="18"/>
              </w:rPr>
              <w:t>.</w:t>
            </w:r>
          </w:p>
        </w:tc>
        <w:tc>
          <w:tcPr>
            <w:tcW w:w="4110" w:type="dxa"/>
            <w:vMerge w:val="restart"/>
          </w:tcPr>
          <w:p w14:paraId="41E8A52C" w14:textId="77777777" w:rsidR="002405A3" w:rsidRDefault="002405A3" w:rsidP="002861EB">
            <w:pPr>
              <w:jc w:val="both"/>
              <w:rPr>
                <w:rFonts w:ascii="Times New Roman" w:hAnsi="Times New Roman" w:cs="Times New Roman"/>
                <w:b/>
                <w:sz w:val="18"/>
                <w:szCs w:val="18"/>
              </w:rPr>
            </w:pPr>
            <w:r w:rsidRPr="006F6AE5">
              <w:rPr>
                <w:rFonts w:ascii="Times New Roman" w:hAnsi="Times New Roman" w:cs="Times New Roman"/>
                <w:b/>
                <w:sz w:val="18"/>
                <w:szCs w:val="18"/>
              </w:rPr>
              <w:t>Garantijos dydis</w:t>
            </w:r>
            <w:r w:rsidRPr="006F6AE5">
              <w:rPr>
                <w:rFonts w:ascii="Times New Roman" w:hAnsi="Times New Roman" w:cs="Times New Roman"/>
                <w:b/>
                <w:sz w:val="18"/>
                <w:szCs w:val="18"/>
              </w:rPr>
              <w:tab/>
            </w:r>
          </w:p>
          <w:p w14:paraId="5D7212B8" w14:textId="1BB9CC8B" w:rsidR="002405A3" w:rsidRPr="006F6AE5" w:rsidRDefault="002405A3" w:rsidP="002861EB">
            <w:pPr>
              <w:jc w:val="both"/>
              <w:rPr>
                <w:rFonts w:ascii="Times New Roman" w:hAnsi="Times New Roman" w:cs="Times New Roman"/>
                <w:bCs/>
                <w:sz w:val="18"/>
                <w:szCs w:val="18"/>
              </w:rPr>
            </w:pPr>
            <w:r w:rsidRPr="006F6AE5">
              <w:rPr>
                <w:rFonts w:ascii="Times New Roman" w:hAnsi="Times New Roman" w:cs="Times New Roman"/>
                <w:bCs/>
                <w:sz w:val="18"/>
                <w:szCs w:val="18"/>
              </w:rPr>
              <w:t>80 proc.</w:t>
            </w:r>
          </w:p>
        </w:tc>
        <w:tc>
          <w:tcPr>
            <w:tcW w:w="4252" w:type="dxa"/>
          </w:tcPr>
          <w:p w14:paraId="7C45091D" w14:textId="6EB9BEA0" w:rsidR="002405A3" w:rsidRPr="00A8128F" w:rsidRDefault="002405A3" w:rsidP="002861EB">
            <w:pPr>
              <w:jc w:val="both"/>
              <w:rPr>
                <w:rFonts w:ascii="Times New Roman" w:hAnsi="Times New Roman" w:cs="Times New Roman"/>
                <w:sz w:val="18"/>
                <w:szCs w:val="18"/>
                <w:lang w:val="en-US"/>
              </w:rPr>
            </w:pPr>
            <w:r w:rsidRPr="0066528B">
              <w:rPr>
                <w:rFonts w:ascii="Times New Roman" w:hAnsi="Times New Roman" w:cs="Times New Roman"/>
                <w:sz w:val="18"/>
                <w:szCs w:val="18"/>
              </w:rPr>
              <w:t>Atsižvelgiant į rinkos situaciją ir klientų teikiamus atsiliepimus, siūlome didinti garantijos dydį iki 100 proc.</w:t>
            </w:r>
          </w:p>
        </w:tc>
        <w:tc>
          <w:tcPr>
            <w:tcW w:w="2694" w:type="dxa"/>
            <w:vMerge w:val="restart"/>
          </w:tcPr>
          <w:p w14:paraId="587A2C1E" w14:textId="29A5B0D7" w:rsidR="002405A3" w:rsidRPr="007F1AA0" w:rsidRDefault="002405A3" w:rsidP="007F1AA0">
            <w:pPr>
              <w:jc w:val="both"/>
              <w:rPr>
                <w:rFonts w:ascii="Times New Roman" w:hAnsi="Times New Roman" w:cs="Times New Roman"/>
                <w:sz w:val="18"/>
                <w:szCs w:val="18"/>
              </w:rPr>
            </w:pPr>
            <w:r>
              <w:rPr>
                <w:rFonts w:ascii="Times New Roman" w:hAnsi="Times New Roman" w:cs="Times New Roman"/>
                <w:sz w:val="18"/>
                <w:szCs w:val="18"/>
              </w:rPr>
              <w:t>P</w:t>
            </w:r>
            <w:r w:rsidRPr="007F1AA0">
              <w:rPr>
                <w:rFonts w:ascii="Times New Roman" w:hAnsi="Times New Roman" w:cs="Times New Roman"/>
                <w:sz w:val="18"/>
                <w:szCs w:val="18"/>
              </w:rPr>
              <w:t xml:space="preserve">riemonė „Portfelinės garantijos </w:t>
            </w:r>
          </w:p>
          <w:p w14:paraId="7F7B896E" w14:textId="61FB636C" w:rsidR="002405A3" w:rsidRDefault="002405A3" w:rsidP="007F1AA0">
            <w:pPr>
              <w:jc w:val="both"/>
              <w:rPr>
                <w:rFonts w:ascii="Times New Roman" w:hAnsi="Times New Roman" w:cs="Times New Roman"/>
                <w:sz w:val="18"/>
                <w:szCs w:val="18"/>
              </w:rPr>
            </w:pPr>
            <w:r w:rsidRPr="007F1AA0">
              <w:rPr>
                <w:rFonts w:ascii="Times New Roman" w:hAnsi="Times New Roman" w:cs="Times New Roman"/>
                <w:sz w:val="18"/>
                <w:szCs w:val="18"/>
              </w:rPr>
              <w:t>paskoloms 2” nėra išimtinai orientuota į uždraustus (</w:t>
            </w:r>
            <w:proofErr w:type="spellStart"/>
            <w:r w:rsidRPr="007F1AA0">
              <w:rPr>
                <w:rFonts w:ascii="Times New Roman" w:hAnsi="Times New Roman" w:cs="Times New Roman"/>
                <w:sz w:val="18"/>
                <w:szCs w:val="18"/>
              </w:rPr>
              <w:t>karantinuotus</w:t>
            </w:r>
            <w:proofErr w:type="spellEnd"/>
            <w:r w:rsidRPr="007F1AA0">
              <w:rPr>
                <w:rFonts w:ascii="Times New Roman" w:hAnsi="Times New Roman" w:cs="Times New Roman"/>
                <w:sz w:val="18"/>
                <w:szCs w:val="18"/>
              </w:rPr>
              <w:t>) verslus, todėl priemonės įgyvendinimo sąlygos, kai kiekviena paskola garantuojama 80 proc. ir nustatyta 20 proc. viršutinė ribos norma, yra optimalios. Istoriniai duomenys rodo, kad finansų įstaigoms veikiant teigiamoje ekonominėje aplinkoje, paskolų nuostolingumo rodikliai yra ženkliai mažesni nei 20 proc.</w:t>
            </w:r>
          </w:p>
        </w:tc>
      </w:tr>
      <w:tr w:rsidR="002405A3" w:rsidRPr="00BC5F1C" w14:paraId="0249C3E8" w14:textId="77777777" w:rsidTr="00297A9C">
        <w:trPr>
          <w:trHeight w:val="933"/>
        </w:trPr>
        <w:tc>
          <w:tcPr>
            <w:tcW w:w="1271" w:type="dxa"/>
            <w:vMerge/>
          </w:tcPr>
          <w:p w14:paraId="7BB9F242" w14:textId="77777777" w:rsidR="002405A3" w:rsidRPr="00B04643" w:rsidRDefault="002405A3" w:rsidP="007F1AA0">
            <w:pPr>
              <w:jc w:val="center"/>
              <w:rPr>
                <w:rFonts w:ascii="Times New Roman" w:hAnsi="Times New Roman" w:cs="Times New Roman"/>
                <w:sz w:val="18"/>
                <w:szCs w:val="18"/>
              </w:rPr>
            </w:pPr>
          </w:p>
        </w:tc>
        <w:tc>
          <w:tcPr>
            <w:tcW w:w="4110" w:type="dxa"/>
            <w:vMerge/>
          </w:tcPr>
          <w:p w14:paraId="278FC5B7" w14:textId="77777777" w:rsidR="002405A3" w:rsidRPr="006F6AE5" w:rsidRDefault="002405A3" w:rsidP="002861EB">
            <w:pPr>
              <w:jc w:val="both"/>
              <w:rPr>
                <w:rFonts w:ascii="Times New Roman" w:hAnsi="Times New Roman" w:cs="Times New Roman"/>
                <w:b/>
                <w:sz w:val="18"/>
                <w:szCs w:val="18"/>
              </w:rPr>
            </w:pPr>
          </w:p>
        </w:tc>
        <w:tc>
          <w:tcPr>
            <w:tcW w:w="4252" w:type="dxa"/>
          </w:tcPr>
          <w:p w14:paraId="4C9240CE" w14:textId="20015456" w:rsidR="002405A3" w:rsidRPr="00364FD2" w:rsidRDefault="002405A3" w:rsidP="00364FD2">
            <w:pPr>
              <w:jc w:val="both"/>
              <w:rPr>
                <w:rFonts w:ascii="Times New Roman" w:hAnsi="Times New Roman" w:cs="Times New Roman"/>
                <w:sz w:val="18"/>
                <w:szCs w:val="18"/>
              </w:rPr>
            </w:pPr>
          </w:p>
          <w:p w14:paraId="51A0BB25" w14:textId="011D26D7" w:rsidR="002405A3" w:rsidRPr="0066528B" w:rsidRDefault="002405A3" w:rsidP="00364FD2">
            <w:pPr>
              <w:jc w:val="both"/>
              <w:rPr>
                <w:rFonts w:ascii="Times New Roman" w:hAnsi="Times New Roman" w:cs="Times New Roman"/>
                <w:sz w:val="18"/>
                <w:szCs w:val="18"/>
              </w:rPr>
            </w:pPr>
            <w:r>
              <w:rPr>
                <w:rFonts w:ascii="Times New Roman" w:hAnsi="Times New Roman" w:cs="Times New Roman"/>
                <w:sz w:val="18"/>
                <w:szCs w:val="18"/>
              </w:rPr>
              <w:t>Siūlome p</w:t>
            </w:r>
            <w:r w:rsidRPr="00364FD2">
              <w:rPr>
                <w:rFonts w:ascii="Times New Roman" w:hAnsi="Times New Roman" w:cs="Times New Roman"/>
                <w:sz w:val="18"/>
                <w:szCs w:val="18"/>
              </w:rPr>
              <w:t>agal šią priemonę teikti bankams, teikiantiems paskolas arba atgręžtinį lizingą likvidumui palaikyti dėl COVID19 nukentėjusioms įmonėms ne 80 %, o 100 % „Invegos“ garantiją be jokių atsiskaitymų esant nuostolių įvykiams ir 100 % tokio po</w:t>
            </w:r>
            <w:r>
              <w:rPr>
                <w:rFonts w:ascii="Times New Roman" w:hAnsi="Times New Roman" w:cs="Times New Roman"/>
                <w:sz w:val="18"/>
                <w:szCs w:val="18"/>
              </w:rPr>
              <w:t>r</w:t>
            </w:r>
            <w:r w:rsidRPr="00364FD2">
              <w:rPr>
                <w:rFonts w:ascii="Times New Roman" w:hAnsi="Times New Roman" w:cs="Times New Roman"/>
                <w:sz w:val="18"/>
                <w:szCs w:val="18"/>
              </w:rPr>
              <w:t>tfelio.</w:t>
            </w:r>
          </w:p>
        </w:tc>
        <w:tc>
          <w:tcPr>
            <w:tcW w:w="2694" w:type="dxa"/>
            <w:vMerge/>
          </w:tcPr>
          <w:p w14:paraId="1E386717" w14:textId="77777777" w:rsidR="002405A3" w:rsidRDefault="002405A3" w:rsidP="00080D5D">
            <w:pPr>
              <w:jc w:val="both"/>
              <w:rPr>
                <w:rFonts w:ascii="Times New Roman" w:hAnsi="Times New Roman" w:cs="Times New Roman"/>
                <w:sz w:val="18"/>
                <w:szCs w:val="18"/>
              </w:rPr>
            </w:pPr>
          </w:p>
        </w:tc>
      </w:tr>
      <w:tr w:rsidR="002405A3" w:rsidRPr="00BC5F1C" w14:paraId="5AB4B3C5" w14:textId="77777777" w:rsidTr="00297A9C">
        <w:trPr>
          <w:trHeight w:val="933"/>
        </w:trPr>
        <w:tc>
          <w:tcPr>
            <w:tcW w:w="1271" w:type="dxa"/>
            <w:vMerge/>
          </w:tcPr>
          <w:p w14:paraId="7584BBB5" w14:textId="77777777" w:rsidR="002405A3" w:rsidRPr="000F033C" w:rsidRDefault="002405A3" w:rsidP="007F1AA0">
            <w:pPr>
              <w:pStyle w:val="ListParagraph"/>
              <w:jc w:val="center"/>
              <w:rPr>
                <w:rFonts w:ascii="Times New Roman" w:hAnsi="Times New Roman" w:cs="Times New Roman"/>
                <w:sz w:val="18"/>
                <w:szCs w:val="18"/>
              </w:rPr>
            </w:pPr>
          </w:p>
        </w:tc>
        <w:tc>
          <w:tcPr>
            <w:tcW w:w="4110" w:type="dxa"/>
            <w:vMerge/>
          </w:tcPr>
          <w:p w14:paraId="00220931" w14:textId="77777777" w:rsidR="002405A3" w:rsidRPr="006F6AE5" w:rsidRDefault="002405A3" w:rsidP="002861EB">
            <w:pPr>
              <w:jc w:val="both"/>
              <w:rPr>
                <w:rFonts w:ascii="Times New Roman" w:hAnsi="Times New Roman" w:cs="Times New Roman"/>
                <w:b/>
                <w:sz w:val="18"/>
                <w:szCs w:val="18"/>
              </w:rPr>
            </w:pPr>
          </w:p>
        </w:tc>
        <w:tc>
          <w:tcPr>
            <w:tcW w:w="4252" w:type="dxa"/>
          </w:tcPr>
          <w:p w14:paraId="34C748C9" w14:textId="7E972694" w:rsidR="002405A3" w:rsidRPr="00364FD2" w:rsidRDefault="002405A3" w:rsidP="00364FD2">
            <w:pPr>
              <w:jc w:val="both"/>
              <w:rPr>
                <w:rFonts w:ascii="Times New Roman" w:hAnsi="Times New Roman" w:cs="Times New Roman"/>
                <w:sz w:val="18"/>
                <w:szCs w:val="18"/>
              </w:rPr>
            </w:pPr>
            <w:r w:rsidRPr="009A4AD0">
              <w:rPr>
                <w:rFonts w:ascii="Times New Roman" w:hAnsi="Times New Roman" w:cs="Times New Roman"/>
                <w:sz w:val="18"/>
                <w:szCs w:val="18"/>
              </w:rPr>
              <w:t>Dokumento 2.1 punkte nurodoma, kad „PGP2 priemonės valdytojas, pagal kiekvieną Probleminę Paskolą iki didžiausios nustatytos sutartimi išmokų sumos. PGP priemonės valdytojas prisiima ne mažesnį nei 20 proc. suformuoto Portfelio nuostolingumą.“ Ši nuostata nesuderinama su esamos situacijos specifika. 20 proc. riba taikoma sandoriams teigiamoje ekonominėje aplinkoje. Esant krizinei situacijai šis dydis turėtų siekti bent jau 30%.</w:t>
            </w:r>
          </w:p>
        </w:tc>
        <w:tc>
          <w:tcPr>
            <w:tcW w:w="2694" w:type="dxa"/>
            <w:vMerge/>
          </w:tcPr>
          <w:p w14:paraId="5C401266" w14:textId="77777777" w:rsidR="002405A3" w:rsidRDefault="002405A3" w:rsidP="00080D5D">
            <w:pPr>
              <w:jc w:val="both"/>
              <w:rPr>
                <w:rFonts w:ascii="Times New Roman" w:hAnsi="Times New Roman" w:cs="Times New Roman"/>
                <w:sz w:val="18"/>
                <w:szCs w:val="18"/>
              </w:rPr>
            </w:pPr>
          </w:p>
        </w:tc>
      </w:tr>
      <w:tr w:rsidR="002405A3" w:rsidRPr="00BC5F1C" w14:paraId="0565B5DF" w14:textId="77777777" w:rsidTr="00297A9C">
        <w:tc>
          <w:tcPr>
            <w:tcW w:w="1271" w:type="dxa"/>
          </w:tcPr>
          <w:p w14:paraId="38277A60" w14:textId="186EFA91" w:rsidR="002405A3" w:rsidRPr="000F033C" w:rsidRDefault="002405A3" w:rsidP="000A458B">
            <w:pPr>
              <w:jc w:val="center"/>
              <w:rPr>
                <w:rFonts w:ascii="Times New Roman" w:hAnsi="Times New Roman" w:cs="Times New Roman"/>
                <w:sz w:val="18"/>
                <w:szCs w:val="18"/>
              </w:rPr>
            </w:pPr>
            <w:r>
              <w:rPr>
                <w:rFonts w:ascii="Times New Roman" w:hAnsi="Times New Roman" w:cs="Times New Roman"/>
                <w:sz w:val="18"/>
                <w:szCs w:val="18"/>
              </w:rPr>
              <w:t xml:space="preserve">2. </w:t>
            </w:r>
          </w:p>
        </w:tc>
        <w:tc>
          <w:tcPr>
            <w:tcW w:w="4110" w:type="dxa"/>
          </w:tcPr>
          <w:p w14:paraId="4BDEAD1F" w14:textId="77777777" w:rsidR="002405A3" w:rsidRDefault="002405A3" w:rsidP="002861EB">
            <w:pPr>
              <w:jc w:val="both"/>
              <w:rPr>
                <w:rFonts w:ascii="Times New Roman" w:hAnsi="Times New Roman" w:cs="Times New Roman"/>
                <w:b/>
                <w:sz w:val="18"/>
                <w:szCs w:val="18"/>
              </w:rPr>
            </w:pPr>
            <w:r w:rsidRPr="00DC0801">
              <w:rPr>
                <w:rFonts w:ascii="Times New Roman" w:hAnsi="Times New Roman" w:cs="Times New Roman"/>
                <w:b/>
                <w:sz w:val="18"/>
                <w:szCs w:val="18"/>
              </w:rPr>
              <w:t>PGP2 priemonės lėšos</w:t>
            </w:r>
          </w:p>
          <w:p w14:paraId="5D8E84BF" w14:textId="0E97F6B2" w:rsidR="002405A3" w:rsidRPr="00DC0801" w:rsidRDefault="002405A3" w:rsidP="002861EB">
            <w:pPr>
              <w:jc w:val="both"/>
              <w:rPr>
                <w:rFonts w:ascii="Times New Roman" w:hAnsi="Times New Roman" w:cs="Times New Roman"/>
                <w:bCs/>
                <w:sz w:val="18"/>
                <w:szCs w:val="18"/>
              </w:rPr>
            </w:pPr>
            <w:r w:rsidRPr="00DC0801">
              <w:rPr>
                <w:rFonts w:ascii="Times New Roman" w:hAnsi="Times New Roman" w:cs="Times New Roman"/>
                <w:bCs/>
                <w:sz w:val="18"/>
                <w:szCs w:val="18"/>
              </w:rPr>
              <w:t>PGP2 priemonei įgyvendinti numatyta skirti 85 mln. Eur Lietuvos Respublikos valstybės biudžeto lėšų. PGP2 priemonei skirta lėšų suma gali būti didinama arba mažinama, atsižvelgiant į rinkos poreikį</w:t>
            </w:r>
          </w:p>
        </w:tc>
        <w:tc>
          <w:tcPr>
            <w:tcW w:w="4252" w:type="dxa"/>
          </w:tcPr>
          <w:p w14:paraId="3F87855A" w14:textId="430A0F6F" w:rsidR="002405A3" w:rsidRPr="0066528B" w:rsidRDefault="002405A3" w:rsidP="002861EB">
            <w:pPr>
              <w:jc w:val="both"/>
              <w:rPr>
                <w:rFonts w:ascii="Times New Roman" w:hAnsi="Times New Roman" w:cs="Times New Roman"/>
                <w:sz w:val="18"/>
                <w:szCs w:val="18"/>
              </w:rPr>
            </w:pPr>
            <w:r w:rsidRPr="00DC0801">
              <w:rPr>
                <w:rFonts w:ascii="Times New Roman" w:hAnsi="Times New Roman" w:cs="Times New Roman"/>
                <w:sz w:val="18"/>
                <w:szCs w:val="18"/>
              </w:rPr>
              <w:t xml:space="preserve">Kuo remiantis bus paskirstoma priemonė valdytojams? Jei rinkos dalimi, ar bus atsižvelgiama į tikslinį šios priemonės subjektą - </w:t>
            </w:r>
            <w:proofErr w:type="spellStart"/>
            <w:r w:rsidRPr="00DC0801">
              <w:rPr>
                <w:rFonts w:ascii="Times New Roman" w:hAnsi="Times New Roman" w:cs="Times New Roman"/>
                <w:sz w:val="18"/>
                <w:szCs w:val="18"/>
              </w:rPr>
              <w:t>t.y</w:t>
            </w:r>
            <w:proofErr w:type="spellEnd"/>
            <w:r w:rsidRPr="00DC0801">
              <w:rPr>
                <w:rFonts w:ascii="Times New Roman" w:hAnsi="Times New Roman" w:cs="Times New Roman"/>
                <w:sz w:val="18"/>
                <w:szCs w:val="18"/>
              </w:rPr>
              <w:t>. SVV ir DĮ? Ir ar skaičiuojant valdytojo turimą rinkos dalį bus eliminuojamos labai didelės įmonės, negalinčios būti šios priemonės subjektu? Jei ne, kodėl?</w:t>
            </w:r>
          </w:p>
        </w:tc>
        <w:tc>
          <w:tcPr>
            <w:tcW w:w="2694" w:type="dxa"/>
          </w:tcPr>
          <w:p w14:paraId="4D13B219" w14:textId="708B77D4"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Finansų tarpininkų atrankos sąlygos bus nurodytos priemonės įgyvendinimo apraše. Kiekvienas finansų tarpininkas įgis teisę gauti dalį priemonei skirtos lėšų sumos, kuri neviršys 10 proc. priemonei skirtos sumos. Planuojama p</w:t>
            </w:r>
            <w:r w:rsidRPr="00E31B23">
              <w:rPr>
                <w:rFonts w:ascii="Times New Roman" w:hAnsi="Times New Roman" w:cs="Times New Roman"/>
                <w:sz w:val="18"/>
                <w:szCs w:val="18"/>
              </w:rPr>
              <w:t xml:space="preserve">er </w:t>
            </w:r>
            <w:r>
              <w:rPr>
                <w:rFonts w:ascii="Times New Roman" w:hAnsi="Times New Roman" w:cs="Times New Roman"/>
                <w:sz w:val="18"/>
                <w:szCs w:val="18"/>
              </w:rPr>
              <w:t>s</w:t>
            </w:r>
            <w:r w:rsidRPr="00E31B23">
              <w:rPr>
                <w:rFonts w:ascii="Times New Roman" w:hAnsi="Times New Roman" w:cs="Times New Roman"/>
                <w:sz w:val="18"/>
                <w:szCs w:val="18"/>
              </w:rPr>
              <w:t xml:space="preserve">utarties laikotarpį į </w:t>
            </w:r>
            <w:r>
              <w:rPr>
                <w:rFonts w:ascii="Times New Roman" w:hAnsi="Times New Roman" w:cs="Times New Roman"/>
                <w:sz w:val="18"/>
                <w:szCs w:val="18"/>
              </w:rPr>
              <w:t>p</w:t>
            </w:r>
            <w:r w:rsidRPr="00E31B23">
              <w:rPr>
                <w:rFonts w:ascii="Times New Roman" w:hAnsi="Times New Roman" w:cs="Times New Roman"/>
                <w:sz w:val="18"/>
                <w:szCs w:val="18"/>
              </w:rPr>
              <w:t xml:space="preserve">ortfelį įtraukti </w:t>
            </w:r>
            <w:r>
              <w:rPr>
                <w:rFonts w:ascii="Times New Roman" w:hAnsi="Times New Roman" w:cs="Times New Roman"/>
                <w:sz w:val="18"/>
                <w:szCs w:val="18"/>
              </w:rPr>
              <w:t>p</w:t>
            </w:r>
            <w:r w:rsidRPr="00E31B23">
              <w:rPr>
                <w:rFonts w:ascii="Times New Roman" w:hAnsi="Times New Roman" w:cs="Times New Roman"/>
                <w:sz w:val="18"/>
                <w:szCs w:val="18"/>
              </w:rPr>
              <w:t>askolų suma negal</w:t>
            </w:r>
            <w:r>
              <w:rPr>
                <w:rFonts w:ascii="Times New Roman" w:hAnsi="Times New Roman" w:cs="Times New Roman"/>
                <w:sz w:val="18"/>
                <w:szCs w:val="18"/>
              </w:rPr>
              <w:t>ės</w:t>
            </w:r>
            <w:r w:rsidRPr="00E31B23">
              <w:rPr>
                <w:rFonts w:ascii="Times New Roman" w:hAnsi="Times New Roman" w:cs="Times New Roman"/>
                <w:sz w:val="18"/>
                <w:szCs w:val="18"/>
              </w:rPr>
              <w:t xml:space="preserve"> viršyti finansų įstaigos verslo subjektams išduotų paskolų ir lizingo sandorių sumos padaugintos du kartus</w:t>
            </w:r>
          </w:p>
        </w:tc>
      </w:tr>
      <w:tr w:rsidR="002405A3" w:rsidRPr="00BC5F1C" w14:paraId="70C556EF" w14:textId="77777777" w:rsidTr="00297A9C">
        <w:tc>
          <w:tcPr>
            <w:tcW w:w="1271" w:type="dxa"/>
            <w:vMerge w:val="restart"/>
          </w:tcPr>
          <w:p w14:paraId="1B6855D6" w14:textId="1CFF3560" w:rsidR="002405A3" w:rsidRPr="000F033C" w:rsidRDefault="002405A3" w:rsidP="000A458B">
            <w:pPr>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4110" w:type="dxa"/>
            <w:vMerge w:val="restart"/>
          </w:tcPr>
          <w:p w14:paraId="0CB1A3C0" w14:textId="10EE868A" w:rsidR="002405A3" w:rsidRPr="00DC0801" w:rsidRDefault="002405A3" w:rsidP="002861EB">
            <w:pPr>
              <w:jc w:val="both"/>
              <w:rPr>
                <w:rFonts w:ascii="Times New Roman" w:hAnsi="Times New Roman" w:cs="Times New Roman"/>
                <w:b/>
                <w:sz w:val="18"/>
                <w:szCs w:val="18"/>
              </w:rPr>
            </w:pPr>
            <w:r w:rsidRPr="006A4ED3">
              <w:rPr>
                <w:rFonts w:ascii="Times New Roman" w:hAnsi="Times New Roman" w:cs="Times New Roman"/>
                <w:b/>
                <w:sz w:val="18"/>
                <w:szCs w:val="18"/>
              </w:rPr>
              <w:t>Sutarto Portfelio dydžio ir PGP2 priemonei įgyvendinti skirtų lėšų didinimas ir mažinimas</w:t>
            </w:r>
          </w:p>
        </w:tc>
        <w:tc>
          <w:tcPr>
            <w:tcW w:w="4252" w:type="dxa"/>
          </w:tcPr>
          <w:p w14:paraId="15E3A849" w14:textId="5A8A801B" w:rsidR="002405A3" w:rsidRPr="00075309" w:rsidRDefault="002405A3" w:rsidP="00075309">
            <w:pPr>
              <w:jc w:val="both"/>
              <w:rPr>
                <w:rFonts w:ascii="Times New Roman" w:hAnsi="Times New Roman" w:cs="Times New Roman"/>
                <w:sz w:val="18"/>
                <w:szCs w:val="18"/>
              </w:rPr>
            </w:pPr>
            <w:r w:rsidRPr="00075309">
              <w:rPr>
                <w:rFonts w:ascii="Times New Roman" w:hAnsi="Times New Roman" w:cs="Times New Roman"/>
                <w:sz w:val="18"/>
                <w:szCs w:val="18"/>
              </w:rPr>
              <w:t>Dabar punktas tiksliai aprašo dedikuoto portfelio mažinimo taisykles. Aktualu žinoti kaip kredituotojui dedikuotas portfelis galės būti didinamas, pvz. jei viršijamas planas, tuomet kas du mėn</w:t>
            </w:r>
            <w:r>
              <w:rPr>
                <w:rFonts w:ascii="Times New Roman" w:hAnsi="Times New Roman" w:cs="Times New Roman"/>
                <w:sz w:val="18"/>
                <w:szCs w:val="18"/>
              </w:rPr>
              <w:t>.</w:t>
            </w:r>
            <w:r w:rsidRPr="00075309">
              <w:rPr>
                <w:rFonts w:ascii="Times New Roman" w:hAnsi="Times New Roman" w:cs="Times New Roman"/>
                <w:sz w:val="18"/>
                <w:szCs w:val="18"/>
              </w:rPr>
              <w:t xml:space="preserve"> ar pan</w:t>
            </w:r>
            <w:r>
              <w:rPr>
                <w:rFonts w:ascii="Times New Roman" w:hAnsi="Times New Roman" w:cs="Times New Roman"/>
                <w:sz w:val="18"/>
                <w:szCs w:val="18"/>
              </w:rPr>
              <w:t>.</w:t>
            </w:r>
            <w:r w:rsidRPr="00075309">
              <w:rPr>
                <w:rFonts w:ascii="Times New Roman" w:hAnsi="Times New Roman" w:cs="Times New Roman"/>
                <w:sz w:val="18"/>
                <w:szCs w:val="18"/>
              </w:rPr>
              <w:t xml:space="preserve"> perskirstant nepaskirstytus ar atšauktus/sugrąžintus limitus iš plano nevykdančių kredituotojų ar pan.</w:t>
            </w:r>
          </w:p>
        </w:tc>
        <w:tc>
          <w:tcPr>
            <w:tcW w:w="2694" w:type="dxa"/>
            <w:vMerge w:val="restart"/>
          </w:tcPr>
          <w:p w14:paraId="172F584E" w14:textId="4BB3C62E"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Galimybė mažinti  finansų tarpininkui skirtą portfelio dydį numatyta po 2 mėn. Paskolos į portfelius bus traukiamos tik iki 2020-12-31 (7,5 mėn. laikotarpis), todėl, siekdami, kad priemonė būtų įgyvendinama sparčiai, negalime laukti 6 mėn. </w:t>
            </w:r>
          </w:p>
          <w:p w14:paraId="59BBC073" w14:textId="4AC6A5E2"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Finansų tarpininkas turės galimybę gauti papildomų lėšų priemonei įgyvendinti. Didinimo tvarka bus numatyta priemonės įgyvendinimo apraše</w:t>
            </w:r>
          </w:p>
        </w:tc>
      </w:tr>
      <w:tr w:rsidR="002405A3" w:rsidRPr="00BC5F1C" w14:paraId="417D1AB5" w14:textId="77777777" w:rsidTr="00297A9C">
        <w:tc>
          <w:tcPr>
            <w:tcW w:w="1271" w:type="dxa"/>
            <w:vMerge/>
          </w:tcPr>
          <w:p w14:paraId="31DE3718" w14:textId="77777777" w:rsidR="002405A3" w:rsidRPr="000F033C" w:rsidRDefault="002405A3" w:rsidP="007F1AA0">
            <w:pPr>
              <w:pStyle w:val="ListParagraph"/>
              <w:jc w:val="center"/>
              <w:rPr>
                <w:rFonts w:ascii="Times New Roman" w:hAnsi="Times New Roman" w:cs="Times New Roman"/>
                <w:sz w:val="18"/>
                <w:szCs w:val="18"/>
              </w:rPr>
            </w:pPr>
          </w:p>
        </w:tc>
        <w:tc>
          <w:tcPr>
            <w:tcW w:w="4110" w:type="dxa"/>
            <w:vMerge/>
          </w:tcPr>
          <w:p w14:paraId="34F46EE8" w14:textId="77777777" w:rsidR="002405A3" w:rsidRPr="006A4ED3" w:rsidRDefault="002405A3" w:rsidP="002861EB">
            <w:pPr>
              <w:jc w:val="both"/>
              <w:rPr>
                <w:rFonts w:ascii="Times New Roman" w:hAnsi="Times New Roman" w:cs="Times New Roman"/>
                <w:b/>
                <w:sz w:val="18"/>
                <w:szCs w:val="18"/>
              </w:rPr>
            </w:pPr>
          </w:p>
        </w:tc>
        <w:tc>
          <w:tcPr>
            <w:tcW w:w="4252" w:type="dxa"/>
          </w:tcPr>
          <w:p w14:paraId="204F964C" w14:textId="65BB9FF8" w:rsidR="002405A3" w:rsidRPr="00075309" w:rsidRDefault="002405A3" w:rsidP="00075309">
            <w:pPr>
              <w:jc w:val="both"/>
              <w:rPr>
                <w:rFonts w:ascii="Times New Roman" w:hAnsi="Times New Roman" w:cs="Times New Roman"/>
                <w:sz w:val="18"/>
                <w:szCs w:val="18"/>
              </w:rPr>
            </w:pPr>
            <w:r w:rsidRPr="00011818">
              <w:rPr>
                <w:rFonts w:ascii="Times New Roman" w:hAnsi="Times New Roman" w:cs="Times New Roman"/>
                <w:sz w:val="18"/>
                <w:szCs w:val="18"/>
              </w:rPr>
              <w:t>Mūsų nuomone, Portfelio augimo greitis turėtų būti matuojamas ne iškart, o po, tarkime, 6 mėn. Tai būtina, nes sąlygos numato gana griežtus mažinimus jei atsiliekame nuo portfelio didėjimo grafiko 40% arba 60%;</w:t>
            </w:r>
          </w:p>
        </w:tc>
        <w:tc>
          <w:tcPr>
            <w:tcW w:w="2694" w:type="dxa"/>
            <w:vMerge/>
          </w:tcPr>
          <w:p w14:paraId="2845972F" w14:textId="77777777" w:rsidR="002405A3" w:rsidRDefault="002405A3" w:rsidP="00080D5D">
            <w:pPr>
              <w:jc w:val="both"/>
              <w:rPr>
                <w:rFonts w:ascii="Times New Roman" w:hAnsi="Times New Roman" w:cs="Times New Roman"/>
                <w:sz w:val="18"/>
                <w:szCs w:val="18"/>
              </w:rPr>
            </w:pPr>
          </w:p>
        </w:tc>
      </w:tr>
      <w:tr w:rsidR="002405A3" w:rsidRPr="00BC5F1C" w14:paraId="47D49871" w14:textId="77777777" w:rsidTr="00297A9C">
        <w:tc>
          <w:tcPr>
            <w:tcW w:w="1271" w:type="dxa"/>
            <w:vMerge w:val="restart"/>
          </w:tcPr>
          <w:p w14:paraId="14C46071" w14:textId="4D6BA14F" w:rsidR="002405A3" w:rsidRPr="000F033C" w:rsidRDefault="002405A3" w:rsidP="000A458B">
            <w:pPr>
              <w:jc w:val="center"/>
              <w:rPr>
                <w:rFonts w:ascii="Times New Roman" w:hAnsi="Times New Roman" w:cs="Times New Roman"/>
                <w:sz w:val="18"/>
                <w:szCs w:val="18"/>
              </w:rPr>
            </w:pPr>
            <w:r>
              <w:rPr>
                <w:rFonts w:ascii="Times New Roman" w:hAnsi="Times New Roman" w:cs="Times New Roman"/>
                <w:sz w:val="18"/>
                <w:szCs w:val="18"/>
              </w:rPr>
              <w:t xml:space="preserve">4. </w:t>
            </w:r>
          </w:p>
        </w:tc>
        <w:tc>
          <w:tcPr>
            <w:tcW w:w="4110" w:type="dxa"/>
            <w:vMerge w:val="restart"/>
          </w:tcPr>
          <w:p w14:paraId="4CB48A2B" w14:textId="64141AD5" w:rsidR="002405A3" w:rsidRPr="006A4ED3" w:rsidRDefault="002405A3" w:rsidP="002861EB">
            <w:pPr>
              <w:jc w:val="both"/>
              <w:rPr>
                <w:rFonts w:ascii="Times New Roman" w:hAnsi="Times New Roman" w:cs="Times New Roman"/>
                <w:b/>
                <w:sz w:val="18"/>
                <w:szCs w:val="18"/>
              </w:rPr>
            </w:pPr>
            <w:r w:rsidRPr="006A4ED3">
              <w:rPr>
                <w:rFonts w:ascii="Times New Roman" w:hAnsi="Times New Roman" w:cs="Times New Roman"/>
                <w:b/>
                <w:sz w:val="18"/>
                <w:szCs w:val="18"/>
              </w:rPr>
              <w:t>Garantijos mokesčio procentinis dydis</w:t>
            </w:r>
          </w:p>
        </w:tc>
        <w:tc>
          <w:tcPr>
            <w:tcW w:w="4252" w:type="dxa"/>
          </w:tcPr>
          <w:p w14:paraId="06A1DF97" w14:textId="77777777" w:rsidR="002405A3" w:rsidRPr="00075309" w:rsidRDefault="002405A3" w:rsidP="00075309">
            <w:pPr>
              <w:jc w:val="both"/>
              <w:rPr>
                <w:rFonts w:ascii="Times New Roman" w:hAnsi="Times New Roman" w:cs="Times New Roman"/>
                <w:sz w:val="18"/>
                <w:szCs w:val="18"/>
              </w:rPr>
            </w:pPr>
            <w:r w:rsidRPr="00075309">
              <w:rPr>
                <w:rFonts w:ascii="Times New Roman" w:hAnsi="Times New Roman" w:cs="Times New Roman"/>
                <w:sz w:val="18"/>
                <w:szCs w:val="18"/>
              </w:rPr>
              <w:t xml:space="preserve">Jei paskolos terminas yra </w:t>
            </w:r>
            <w:proofErr w:type="spellStart"/>
            <w:r w:rsidRPr="00075309">
              <w:rPr>
                <w:rFonts w:ascii="Times New Roman" w:hAnsi="Times New Roman" w:cs="Times New Roman"/>
                <w:sz w:val="18"/>
                <w:szCs w:val="18"/>
              </w:rPr>
              <w:t>pvz</w:t>
            </w:r>
            <w:proofErr w:type="spellEnd"/>
            <w:r w:rsidRPr="00075309">
              <w:rPr>
                <w:rFonts w:ascii="Times New Roman" w:hAnsi="Times New Roman" w:cs="Times New Roman"/>
                <w:sz w:val="18"/>
                <w:szCs w:val="18"/>
              </w:rPr>
              <w:t xml:space="preserve"> 15 mėn. tuomet kuri kainos kartelė būtų taikoma? Siūlymas trukmę apibrėžti mėnesiais. Taip pat gal svarstėte opciją </w:t>
            </w:r>
            <w:proofErr w:type="spellStart"/>
            <w:r w:rsidRPr="00075309">
              <w:rPr>
                <w:rFonts w:ascii="Times New Roman" w:hAnsi="Times New Roman" w:cs="Times New Roman"/>
                <w:sz w:val="18"/>
                <w:szCs w:val="18"/>
              </w:rPr>
              <w:t>režių</w:t>
            </w:r>
            <w:proofErr w:type="spellEnd"/>
            <w:r w:rsidRPr="00075309">
              <w:rPr>
                <w:rFonts w:ascii="Times New Roman" w:hAnsi="Times New Roman" w:cs="Times New Roman"/>
                <w:sz w:val="18"/>
                <w:szCs w:val="18"/>
              </w:rPr>
              <w:t xml:space="preserve"> 2 metai + 2 metai + 2 metai.</w:t>
            </w:r>
          </w:p>
          <w:p w14:paraId="45257986" w14:textId="045D3409" w:rsidR="002405A3" w:rsidRPr="006A4ED3" w:rsidRDefault="002405A3" w:rsidP="003E3D4D">
            <w:pPr>
              <w:pStyle w:val="ListParagraph"/>
              <w:ind w:left="1080"/>
              <w:rPr>
                <w:rFonts w:ascii="Times New Roman" w:hAnsi="Times New Roman" w:cs="Times New Roman"/>
                <w:sz w:val="18"/>
                <w:szCs w:val="18"/>
              </w:rPr>
            </w:pPr>
          </w:p>
        </w:tc>
        <w:tc>
          <w:tcPr>
            <w:tcW w:w="2694" w:type="dxa"/>
            <w:vMerge w:val="restart"/>
          </w:tcPr>
          <w:p w14:paraId="49B3E4B8" w14:textId="41D69A68"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Garantijos mokesčio dydis nustatytas vadovaujantis </w:t>
            </w:r>
            <w:r w:rsidRPr="00CF19DF">
              <w:rPr>
                <w:rFonts w:ascii="Times New Roman" w:hAnsi="Times New Roman" w:cs="Times New Roman"/>
                <w:sz w:val="18"/>
                <w:szCs w:val="18"/>
              </w:rPr>
              <w:t>2020 m. kovo 19 d. Europos Komisijos komunikat</w:t>
            </w:r>
            <w:r>
              <w:rPr>
                <w:rFonts w:ascii="Times New Roman" w:hAnsi="Times New Roman" w:cs="Times New Roman"/>
                <w:sz w:val="18"/>
                <w:szCs w:val="18"/>
              </w:rPr>
              <w:t>u</w:t>
            </w:r>
            <w:r w:rsidRPr="00CF19DF">
              <w:rPr>
                <w:rFonts w:ascii="Times New Roman" w:hAnsi="Times New Roman" w:cs="Times New Roman"/>
                <w:sz w:val="18"/>
                <w:szCs w:val="18"/>
              </w:rPr>
              <w:t xml:space="preserve"> dėl Laikinosios valstybės pagalbos priemonių, skirtų ekonomikai remti reaguojant į dabartinį COVID-19 protrūkį, sistemos </w:t>
            </w:r>
            <w:r>
              <w:rPr>
                <w:rFonts w:ascii="Times New Roman" w:hAnsi="Times New Roman" w:cs="Times New Roman"/>
                <w:sz w:val="18"/>
                <w:szCs w:val="18"/>
              </w:rPr>
              <w:t xml:space="preserve"> ir suderintas su Europos Komisija. Garantijos mokesčio dydis negali būti mažinamas</w:t>
            </w:r>
          </w:p>
        </w:tc>
      </w:tr>
      <w:tr w:rsidR="002405A3" w:rsidRPr="00BC5F1C" w14:paraId="3F523F82" w14:textId="77777777" w:rsidTr="00297A9C">
        <w:tc>
          <w:tcPr>
            <w:tcW w:w="1271" w:type="dxa"/>
            <w:vMerge/>
          </w:tcPr>
          <w:p w14:paraId="3AC79E7C" w14:textId="77777777" w:rsidR="002405A3" w:rsidRPr="000F033C" w:rsidRDefault="002405A3" w:rsidP="007F1AA0">
            <w:pPr>
              <w:pStyle w:val="ListParagraph"/>
              <w:jc w:val="center"/>
              <w:rPr>
                <w:rFonts w:ascii="Times New Roman" w:hAnsi="Times New Roman" w:cs="Times New Roman"/>
                <w:sz w:val="18"/>
                <w:szCs w:val="18"/>
              </w:rPr>
            </w:pPr>
          </w:p>
        </w:tc>
        <w:tc>
          <w:tcPr>
            <w:tcW w:w="4110" w:type="dxa"/>
            <w:vMerge/>
          </w:tcPr>
          <w:p w14:paraId="1717CB00" w14:textId="77777777" w:rsidR="002405A3" w:rsidRPr="006A4ED3" w:rsidRDefault="002405A3" w:rsidP="002861EB">
            <w:pPr>
              <w:jc w:val="both"/>
              <w:rPr>
                <w:rFonts w:ascii="Times New Roman" w:hAnsi="Times New Roman" w:cs="Times New Roman"/>
                <w:b/>
                <w:sz w:val="18"/>
                <w:szCs w:val="18"/>
              </w:rPr>
            </w:pPr>
          </w:p>
        </w:tc>
        <w:tc>
          <w:tcPr>
            <w:tcW w:w="4252" w:type="dxa"/>
          </w:tcPr>
          <w:p w14:paraId="06D36B36" w14:textId="7E4C9C0B" w:rsidR="002405A3" w:rsidRPr="003E1D13" w:rsidRDefault="002405A3" w:rsidP="00075309">
            <w:pPr>
              <w:rPr>
                <w:rFonts w:ascii="Times New Roman" w:hAnsi="Times New Roman" w:cs="Times New Roman"/>
                <w:sz w:val="18"/>
                <w:szCs w:val="18"/>
              </w:rPr>
            </w:pPr>
            <w:r w:rsidRPr="003E1D13">
              <w:rPr>
                <w:rFonts w:ascii="Times New Roman" w:hAnsi="Times New Roman" w:cs="Times New Roman"/>
                <w:sz w:val="18"/>
                <w:szCs w:val="18"/>
              </w:rPr>
              <w:t>Prašom patikslinti „Garantijos mokesčio skaičiavimo tvarką“: kaip garantijos mokestis turi būti skaičiuojamas sekančiais metais ( ne pirmaisiais) po garantijos suteikimo – ar nuo amortizuotos (įvertinant per pirmuosius metus sugrąžintą sumą) ar nuo pirminės sumos, kuri nurodyta pirminėje sutartyje su klientu? Jeigu nuo amortizuotos sumos – kaip turi būti skaičiuojama Kredito linijos atveju? Taip pat klausimas – kaip garantijos mokesčio skaičiavimą įtakoja iš anksto grąžinta paskolos suma/dalis sumos?</w:t>
            </w:r>
          </w:p>
        </w:tc>
        <w:tc>
          <w:tcPr>
            <w:tcW w:w="2694" w:type="dxa"/>
            <w:vMerge/>
          </w:tcPr>
          <w:p w14:paraId="77C4B089" w14:textId="77777777" w:rsidR="002405A3" w:rsidRDefault="002405A3" w:rsidP="00080D5D">
            <w:pPr>
              <w:jc w:val="both"/>
              <w:rPr>
                <w:rFonts w:ascii="Times New Roman" w:hAnsi="Times New Roman" w:cs="Times New Roman"/>
                <w:sz w:val="18"/>
                <w:szCs w:val="18"/>
              </w:rPr>
            </w:pPr>
          </w:p>
        </w:tc>
      </w:tr>
      <w:tr w:rsidR="002405A3" w:rsidRPr="00BC5F1C" w14:paraId="26416DF6" w14:textId="77777777" w:rsidTr="00297A9C">
        <w:tc>
          <w:tcPr>
            <w:tcW w:w="1271" w:type="dxa"/>
            <w:vMerge/>
          </w:tcPr>
          <w:p w14:paraId="104C7724" w14:textId="77777777" w:rsidR="002405A3" w:rsidRPr="000F033C" w:rsidRDefault="002405A3" w:rsidP="007F1AA0">
            <w:pPr>
              <w:pStyle w:val="ListParagraph"/>
              <w:jc w:val="center"/>
              <w:rPr>
                <w:rFonts w:ascii="Times New Roman" w:hAnsi="Times New Roman" w:cs="Times New Roman"/>
                <w:sz w:val="18"/>
                <w:szCs w:val="18"/>
              </w:rPr>
            </w:pPr>
          </w:p>
        </w:tc>
        <w:tc>
          <w:tcPr>
            <w:tcW w:w="4110" w:type="dxa"/>
            <w:vMerge/>
          </w:tcPr>
          <w:p w14:paraId="60836995" w14:textId="77777777" w:rsidR="002405A3" w:rsidRPr="006A4ED3" w:rsidRDefault="002405A3" w:rsidP="002861EB">
            <w:pPr>
              <w:jc w:val="both"/>
              <w:rPr>
                <w:rFonts w:ascii="Times New Roman" w:hAnsi="Times New Roman" w:cs="Times New Roman"/>
                <w:b/>
                <w:sz w:val="18"/>
                <w:szCs w:val="18"/>
              </w:rPr>
            </w:pPr>
          </w:p>
        </w:tc>
        <w:tc>
          <w:tcPr>
            <w:tcW w:w="4252" w:type="dxa"/>
          </w:tcPr>
          <w:p w14:paraId="51CF51FF" w14:textId="3A757A38" w:rsidR="002405A3" w:rsidRPr="003E1D13" w:rsidRDefault="002405A3" w:rsidP="00075309">
            <w:pPr>
              <w:rPr>
                <w:rFonts w:ascii="Times New Roman" w:hAnsi="Times New Roman" w:cs="Times New Roman"/>
                <w:sz w:val="18"/>
                <w:szCs w:val="18"/>
              </w:rPr>
            </w:pPr>
            <w:r w:rsidRPr="003E1D13">
              <w:rPr>
                <w:rFonts w:ascii="Times New Roman" w:hAnsi="Times New Roman" w:cs="Times New Roman"/>
                <w:sz w:val="18"/>
                <w:szCs w:val="18"/>
              </w:rPr>
              <w:t>Siūlome neskirstyti mokesčio pagal paskolos gavėjo statusą ir peržiūrėti mokesčių pasiūlytus dydžius, kurie neatitinka šiuo metu esančios rinkos situacijos. Mokesčius siūlome mažinti 50 proc.  </w:t>
            </w:r>
          </w:p>
          <w:p w14:paraId="2C765A3D" w14:textId="77777777" w:rsidR="002405A3" w:rsidRPr="006A4ED3" w:rsidRDefault="002405A3" w:rsidP="003E3D4D">
            <w:pPr>
              <w:pStyle w:val="ListParagraph"/>
              <w:ind w:left="1080"/>
              <w:jc w:val="both"/>
              <w:rPr>
                <w:rFonts w:ascii="Times New Roman" w:hAnsi="Times New Roman" w:cs="Times New Roman"/>
                <w:sz w:val="18"/>
                <w:szCs w:val="18"/>
              </w:rPr>
            </w:pPr>
          </w:p>
        </w:tc>
        <w:tc>
          <w:tcPr>
            <w:tcW w:w="2694" w:type="dxa"/>
            <w:vMerge/>
          </w:tcPr>
          <w:p w14:paraId="53709938" w14:textId="77777777" w:rsidR="002405A3" w:rsidRDefault="002405A3" w:rsidP="00080D5D">
            <w:pPr>
              <w:jc w:val="both"/>
              <w:rPr>
                <w:rFonts w:ascii="Times New Roman" w:hAnsi="Times New Roman" w:cs="Times New Roman"/>
                <w:sz w:val="18"/>
                <w:szCs w:val="18"/>
              </w:rPr>
            </w:pPr>
          </w:p>
        </w:tc>
      </w:tr>
      <w:tr w:rsidR="002405A3" w:rsidRPr="00BC5F1C" w14:paraId="78B9197D" w14:textId="77777777" w:rsidTr="00297A9C">
        <w:tc>
          <w:tcPr>
            <w:tcW w:w="1271" w:type="dxa"/>
            <w:vMerge/>
          </w:tcPr>
          <w:p w14:paraId="503145FD" w14:textId="77777777" w:rsidR="002405A3" w:rsidRDefault="002405A3" w:rsidP="007F1AA0">
            <w:pPr>
              <w:jc w:val="center"/>
              <w:rPr>
                <w:rFonts w:ascii="Times New Roman" w:hAnsi="Times New Roman" w:cs="Times New Roman"/>
                <w:sz w:val="18"/>
                <w:szCs w:val="18"/>
              </w:rPr>
            </w:pPr>
          </w:p>
        </w:tc>
        <w:tc>
          <w:tcPr>
            <w:tcW w:w="4110" w:type="dxa"/>
            <w:vMerge/>
          </w:tcPr>
          <w:p w14:paraId="0D56CF5C" w14:textId="77777777" w:rsidR="002405A3" w:rsidRPr="009A4AD0" w:rsidRDefault="002405A3" w:rsidP="006F6AE5">
            <w:pPr>
              <w:jc w:val="both"/>
              <w:rPr>
                <w:rFonts w:ascii="Times New Roman" w:hAnsi="Times New Roman" w:cs="Times New Roman"/>
                <w:b/>
                <w:sz w:val="18"/>
                <w:szCs w:val="18"/>
              </w:rPr>
            </w:pPr>
          </w:p>
        </w:tc>
        <w:tc>
          <w:tcPr>
            <w:tcW w:w="4252" w:type="dxa"/>
          </w:tcPr>
          <w:p w14:paraId="565DA4BB" w14:textId="448E429C" w:rsidR="002405A3" w:rsidRPr="009A4AD0" w:rsidRDefault="002405A3" w:rsidP="00075309">
            <w:pPr>
              <w:jc w:val="both"/>
              <w:rPr>
                <w:rFonts w:ascii="Times New Roman" w:hAnsi="Times New Roman" w:cs="Times New Roman"/>
                <w:sz w:val="18"/>
                <w:szCs w:val="18"/>
              </w:rPr>
            </w:pPr>
            <w:r w:rsidRPr="00C85DA3">
              <w:rPr>
                <w:rFonts w:ascii="Times New Roman" w:hAnsi="Times New Roman" w:cs="Times New Roman"/>
                <w:sz w:val="18"/>
                <w:szCs w:val="18"/>
              </w:rPr>
              <w:t>Garantijos mokestis lyginant su esama PGP priemone yra ženkliai didesnis, ypač ilgesnio laikotarpio ir didesnėms Paskoloms. Siūlome taikyti tokius pat mokesčius kaip PGP priemonei. Pvz., metinis mokestis už restruktūrizuojamą Paskolą, kurios dydis 3 mln. EUR, o terminas 48 mėn., bendras sumokamas mokestis – 190 tūkst. EUR (pagal dabartines PGP sąlygas būtų 24 tūkst. EUR).</w:t>
            </w:r>
          </w:p>
        </w:tc>
        <w:tc>
          <w:tcPr>
            <w:tcW w:w="2694" w:type="dxa"/>
            <w:vMerge/>
          </w:tcPr>
          <w:p w14:paraId="61858F7F" w14:textId="77777777" w:rsidR="002405A3" w:rsidRDefault="002405A3" w:rsidP="00080D5D">
            <w:pPr>
              <w:jc w:val="both"/>
              <w:rPr>
                <w:rFonts w:ascii="Times New Roman" w:hAnsi="Times New Roman" w:cs="Times New Roman"/>
                <w:sz w:val="18"/>
                <w:szCs w:val="18"/>
              </w:rPr>
            </w:pPr>
          </w:p>
        </w:tc>
      </w:tr>
      <w:tr w:rsidR="002405A3" w:rsidRPr="00BC5F1C" w14:paraId="075DBB5E" w14:textId="77777777" w:rsidTr="00297A9C">
        <w:tc>
          <w:tcPr>
            <w:tcW w:w="1271" w:type="dxa"/>
            <w:vMerge w:val="restart"/>
          </w:tcPr>
          <w:p w14:paraId="013FC44D" w14:textId="56578B01"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 xml:space="preserve">5. </w:t>
            </w:r>
          </w:p>
        </w:tc>
        <w:tc>
          <w:tcPr>
            <w:tcW w:w="4110" w:type="dxa"/>
            <w:vMerge w:val="restart"/>
          </w:tcPr>
          <w:p w14:paraId="1C4CD8B3" w14:textId="77777777" w:rsidR="002405A3" w:rsidRPr="009A4AD0" w:rsidRDefault="002405A3" w:rsidP="006F6AE5">
            <w:pPr>
              <w:jc w:val="both"/>
              <w:rPr>
                <w:rFonts w:ascii="Times New Roman" w:hAnsi="Times New Roman" w:cs="Times New Roman"/>
                <w:b/>
                <w:sz w:val="18"/>
                <w:szCs w:val="18"/>
              </w:rPr>
            </w:pPr>
            <w:r w:rsidRPr="009A4AD0">
              <w:rPr>
                <w:rFonts w:ascii="Times New Roman" w:hAnsi="Times New Roman" w:cs="Times New Roman"/>
                <w:b/>
                <w:sz w:val="18"/>
                <w:szCs w:val="18"/>
              </w:rPr>
              <w:t>Viršutinės ribos normos dydis (angl. „Cap rate</w:t>
            </w:r>
          </w:p>
          <w:p w14:paraId="76413CFE" w14:textId="55E3B969" w:rsidR="002405A3" w:rsidRPr="009A4AD0" w:rsidRDefault="002405A3" w:rsidP="006F6AE5">
            <w:pPr>
              <w:jc w:val="both"/>
              <w:rPr>
                <w:rFonts w:ascii="Times New Roman" w:hAnsi="Times New Roman" w:cs="Times New Roman"/>
                <w:bCs/>
                <w:sz w:val="18"/>
                <w:szCs w:val="18"/>
              </w:rPr>
            </w:pPr>
            <w:r w:rsidRPr="009A4AD0">
              <w:rPr>
                <w:rFonts w:ascii="Times New Roman" w:hAnsi="Times New Roman" w:cs="Times New Roman"/>
                <w:bCs/>
                <w:sz w:val="18"/>
                <w:szCs w:val="18"/>
              </w:rPr>
              <w:t>Didžiausias Išmokų, kurias „Invega“, kaip INVEGOS fondo valdytoja, gali išmokėti PGP2 priemonės valdytojui, dydis, t. y. 20 (dvidešimt) proc. nuo garantuotos Portfelio sumos.</w:t>
            </w:r>
          </w:p>
          <w:p w14:paraId="752A89B4" w14:textId="3FCDD150" w:rsidR="002405A3" w:rsidRPr="009A4AD0" w:rsidRDefault="002405A3" w:rsidP="006F6AE5">
            <w:pPr>
              <w:jc w:val="both"/>
              <w:rPr>
                <w:rFonts w:ascii="Times New Roman" w:hAnsi="Times New Roman" w:cs="Times New Roman"/>
                <w:bCs/>
                <w:sz w:val="18"/>
                <w:szCs w:val="18"/>
              </w:rPr>
            </w:pPr>
            <w:r w:rsidRPr="009A4AD0">
              <w:rPr>
                <w:rFonts w:ascii="Times New Roman" w:hAnsi="Times New Roman" w:cs="Times New Roman"/>
                <w:bCs/>
                <w:sz w:val="18"/>
                <w:szCs w:val="18"/>
              </w:rPr>
              <w:t>Minimalus Viršutinės ribos normos dydis vienam  PGP2 priemonės valdytojui yra 1 mln. EUR“)</w:t>
            </w:r>
          </w:p>
          <w:p w14:paraId="065A65B0" w14:textId="57D3D8A1" w:rsidR="002405A3" w:rsidRPr="00475D0C" w:rsidRDefault="002405A3" w:rsidP="002861EB">
            <w:pPr>
              <w:jc w:val="both"/>
              <w:rPr>
                <w:rFonts w:ascii="Times New Roman" w:hAnsi="Times New Roman" w:cs="Times New Roman"/>
                <w:b/>
                <w:sz w:val="18"/>
                <w:szCs w:val="18"/>
              </w:rPr>
            </w:pPr>
          </w:p>
        </w:tc>
        <w:tc>
          <w:tcPr>
            <w:tcW w:w="4252" w:type="dxa"/>
          </w:tcPr>
          <w:p w14:paraId="54FBCEC1" w14:textId="14FFA3D2" w:rsidR="002405A3" w:rsidRPr="0066528B" w:rsidRDefault="002405A3" w:rsidP="00075309">
            <w:pPr>
              <w:jc w:val="both"/>
              <w:rPr>
                <w:rFonts w:ascii="Times New Roman" w:hAnsi="Times New Roman" w:cs="Times New Roman"/>
                <w:sz w:val="18"/>
                <w:szCs w:val="18"/>
              </w:rPr>
            </w:pPr>
            <w:r w:rsidRPr="009A4AD0">
              <w:rPr>
                <w:rFonts w:ascii="Times New Roman" w:hAnsi="Times New Roman" w:cs="Times New Roman"/>
                <w:sz w:val="18"/>
                <w:szCs w:val="18"/>
              </w:rPr>
              <w:t>Dokumento 4 punkto skiltis „Viršutinės ribos normos dydis (angl. „Cap rate“)“, nurodomas „Didžiausias Išmokų, kurias „Invega“, kaip INVEGOS fondo valdytoja, gali išmokėti PGP2 priemonės valdytojui, dydis, t. y. 20 (dvidešimt) proc. nuo garantuotos Portfelio sumos“. Ši nuostata nesuderinama su esamos situacijos specifika. 20 proc. riba taikoma sandoriams teigiamoje ekonominėje aplinkoje. Esant krizinei situacijai šis dydis turėtų siekti bent jau 30%.</w:t>
            </w:r>
          </w:p>
        </w:tc>
        <w:tc>
          <w:tcPr>
            <w:tcW w:w="2694" w:type="dxa"/>
            <w:vMerge w:val="restart"/>
          </w:tcPr>
          <w:p w14:paraId="4DD08842" w14:textId="77777777" w:rsidR="002405A3" w:rsidRPr="00CF19DF" w:rsidRDefault="002405A3" w:rsidP="00CF19DF">
            <w:pPr>
              <w:jc w:val="both"/>
              <w:rPr>
                <w:rFonts w:ascii="Times New Roman" w:hAnsi="Times New Roman" w:cs="Times New Roman"/>
                <w:sz w:val="18"/>
                <w:szCs w:val="18"/>
              </w:rPr>
            </w:pPr>
            <w:r w:rsidRPr="00CF19DF">
              <w:rPr>
                <w:rFonts w:ascii="Times New Roman" w:hAnsi="Times New Roman" w:cs="Times New Roman"/>
                <w:sz w:val="18"/>
                <w:szCs w:val="18"/>
              </w:rPr>
              <w:t xml:space="preserve">Priemonė „Portfelinės garantijos </w:t>
            </w:r>
          </w:p>
          <w:p w14:paraId="5B37A1D4" w14:textId="540837CC" w:rsidR="002405A3" w:rsidRDefault="002405A3" w:rsidP="00CF19DF">
            <w:pPr>
              <w:jc w:val="both"/>
              <w:rPr>
                <w:rFonts w:ascii="Times New Roman" w:hAnsi="Times New Roman" w:cs="Times New Roman"/>
                <w:sz w:val="18"/>
                <w:szCs w:val="18"/>
              </w:rPr>
            </w:pPr>
            <w:r w:rsidRPr="00CF19DF">
              <w:rPr>
                <w:rFonts w:ascii="Times New Roman" w:hAnsi="Times New Roman" w:cs="Times New Roman"/>
                <w:sz w:val="18"/>
                <w:szCs w:val="18"/>
              </w:rPr>
              <w:t>paskoloms 2” nėra išimtinai orientuota į uždraustus (</w:t>
            </w:r>
            <w:proofErr w:type="spellStart"/>
            <w:r w:rsidRPr="00CF19DF">
              <w:rPr>
                <w:rFonts w:ascii="Times New Roman" w:hAnsi="Times New Roman" w:cs="Times New Roman"/>
                <w:sz w:val="18"/>
                <w:szCs w:val="18"/>
              </w:rPr>
              <w:t>karantinuotus</w:t>
            </w:r>
            <w:proofErr w:type="spellEnd"/>
            <w:r w:rsidRPr="00CF19DF">
              <w:rPr>
                <w:rFonts w:ascii="Times New Roman" w:hAnsi="Times New Roman" w:cs="Times New Roman"/>
                <w:sz w:val="18"/>
                <w:szCs w:val="18"/>
              </w:rPr>
              <w:t>) verslus, todėl priemonės įgyvendinimo sąlygos, kai kiekviena paskola garantuojama 80 proc. ir nustatyta 20 proc. viršutinė ribos norma, yra optimalios. Istoriniai duomenys rodo, kad finansų įstaigoms veikiant teigiamoje ekonominėje aplinkoje, paskolų nuostolingumo rodikliai yra ženkliai mažesni nei 20 proc.</w:t>
            </w:r>
          </w:p>
        </w:tc>
      </w:tr>
      <w:tr w:rsidR="002405A3" w:rsidRPr="00BC5F1C" w14:paraId="7E69C256" w14:textId="77777777" w:rsidTr="00297A9C">
        <w:tc>
          <w:tcPr>
            <w:tcW w:w="1271" w:type="dxa"/>
            <w:vMerge/>
          </w:tcPr>
          <w:p w14:paraId="6043BD3E" w14:textId="77777777" w:rsidR="002405A3" w:rsidRDefault="002405A3" w:rsidP="007F1AA0">
            <w:pPr>
              <w:jc w:val="center"/>
              <w:rPr>
                <w:rFonts w:ascii="Times New Roman" w:hAnsi="Times New Roman" w:cs="Times New Roman"/>
                <w:sz w:val="18"/>
                <w:szCs w:val="18"/>
              </w:rPr>
            </w:pPr>
          </w:p>
        </w:tc>
        <w:tc>
          <w:tcPr>
            <w:tcW w:w="4110" w:type="dxa"/>
            <w:vMerge/>
          </w:tcPr>
          <w:p w14:paraId="21BFE065" w14:textId="77777777" w:rsidR="002405A3" w:rsidRPr="0006180B" w:rsidRDefault="002405A3" w:rsidP="006F6AE5">
            <w:pPr>
              <w:jc w:val="both"/>
              <w:rPr>
                <w:rFonts w:ascii="Times New Roman" w:hAnsi="Times New Roman" w:cs="Times New Roman"/>
                <w:b/>
                <w:sz w:val="18"/>
                <w:szCs w:val="18"/>
              </w:rPr>
            </w:pPr>
          </w:p>
        </w:tc>
        <w:tc>
          <w:tcPr>
            <w:tcW w:w="4252" w:type="dxa"/>
          </w:tcPr>
          <w:p w14:paraId="5910599B" w14:textId="0650AC94" w:rsidR="002405A3" w:rsidRDefault="002405A3" w:rsidP="00075309">
            <w:pPr>
              <w:jc w:val="both"/>
              <w:rPr>
                <w:rFonts w:ascii="Times New Roman" w:hAnsi="Times New Roman" w:cs="Times New Roman"/>
                <w:sz w:val="18"/>
                <w:szCs w:val="18"/>
              </w:rPr>
            </w:pPr>
            <w:r w:rsidRPr="00011818">
              <w:rPr>
                <w:rFonts w:ascii="Times New Roman" w:hAnsi="Times New Roman" w:cs="Times New Roman"/>
                <w:sz w:val="18"/>
                <w:szCs w:val="18"/>
              </w:rPr>
              <w:t>Manome, kad viršutinė išmokų riba tikrai galėtų būti daugiau nei 20%, nes šiuo metu skolinti esame raginame plačiau, o neapibrėžtumo turime daugiau. Manome, kad reikia bent 40%, kad drąsiau skolintume ir būtume naudingesni nei bankai, tiek Invegai siekiant savo rezultatų, tiek verslui.</w:t>
            </w:r>
          </w:p>
        </w:tc>
        <w:tc>
          <w:tcPr>
            <w:tcW w:w="2694" w:type="dxa"/>
            <w:vMerge/>
          </w:tcPr>
          <w:p w14:paraId="634A841F" w14:textId="77777777" w:rsidR="002405A3" w:rsidRDefault="002405A3" w:rsidP="00080D5D">
            <w:pPr>
              <w:jc w:val="both"/>
              <w:rPr>
                <w:rFonts w:ascii="Times New Roman" w:hAnsi="Times New Roman" w:cs="Times New Roman"/>
                <w:sz w:val="18"/>
                <w:szCs w:val="18"/>
              </w:rPr>
            </w:pPr>
          </w:p>
        </w:tc>
      </w:tr>
      <w:tr w:rsidR="002405A3" w:rsidRPr="00BC5F1C" w14:paraId="75CE8626" w14:textId="77777777" w:rsidTr="00297A9C">
        <w:tc>
          <w:tcPr>
            <w:tcW w:w="1271" w:type="dxa"/>
            <w:vMerge/>
          </w:tcPr>
          <w:p w14:paraId="5F387450" w14:textId="77777777" w:rsidR="002405A3" w:rsidRDefault="002405A3" w:rsidP="007F1AA0">
            <w:pPr>
              <w:jc w:val="center"/>
              <w:rPr>
                <w:rFonts w:ascii="Times New Roman" w:hAnsi="Times New Roman" w:cs="Times New Roman"/>
                <w:sz w:val="18"/>
                <w:szCs w:val="18"/>
              </w:rPr>
            </w:pPr>
          </w:p>
        </w:tc>
        <w:tc>
          <w:tcPr>
            <w:tcW w:w="4110" w:type="dxa"/>
            <w:vMerge/>
          </w:tcPr>
          <w:p w14:paraId="13D30E03" w14:textId="77777777" w:rsidR="002405A3" w:rsidRPr="0006180B" w:rsidRDefault="002405A3" w:rsidP="006F6AE5">
            <w:pPr>
              <w:jc w:val="both"/>
              <w:rPr>
                <w:rFonts w:ascii="Times New Roman" w:hAnsi="Times New Roman" w:cs="Times New Roman"/>
                <w:b/>
                <w:sz w:val="18"/>
                <w:szCs w:val="18"/>
              </w:rPr>
            </w:pPr>
          </w:p>
        </w:tc>
        <w:tc>
          <w:tcPr>
            <w:tcW w:w="4252" w:type="dxa"/>
          </w:tcPr>
          <w:p w14:paraId="22CD409D" w14:textId="6AFF2621" w:rsidR="002405A3" w:rsidRPr="00075309" w:rsidRDefault="002405A3" w:rsidP="00075309">
            <w:pPr>
              <w:jc w:val="both"/>
              <w:rPr>
                <w:rFonts w:ascii="Times New Roman" w:hAnsi="Times New Roman" w:cs="Times New Roman"/>
                <w:sz w:val="18"/>
                <w:szCs w:val="18"/>
              </w:rPr>
            </w:pPr>
            <w:r>
              <w:rPr>
                <w:rFonts w:ascii="Times New Roman" w:hAnsi="Times New Roman" w:cs="Times New Roman"/>
                <w:sz w:val="18"/>
                <w:szCs w:val="18"/>
              </w:rPr>
              <w:t>„</w:t>
            </w:r>
            <w:r w:rsidRPr="0006180B">
              <w:rPr>
                <w:rFonts w:ascii="Times New Roman" w:hAnsi="Times New Roman" w:cs="Times New Roman"/>
                <w:sz w:val="18"/>
                <w:szCs w:val="18"/>
              </w:rPr>
              <w:t>Minimalus Viršutinės ribos normos dydis vienam  PGP2 priemonės valdytojui yra 1 mln. EUR“</w:t>
            </w:r>
            <w:r>
              <w:rPr>
                <w:rFonts w:ascii="Times New Roman" w:hAnsi="Times New Roman" w:cs="Times New Roman"/>
                <w:sz w:val="18"/>
                <w:szCs w:val="18"/>
              </w:rPr>
              <w:t xml:space="preserve"> </w:t>
            </w:r>
            <w:r w:rsidRPr="0006180B">
              <w:rPr>
                <w:rFonts w:ascii="Times New Roman" w:hAnsi="Times New Roman" w:cs="Times New Roman"/>
                <w:b/>
                <w:bCs/>
                <w:sz w:val="18"/>
                <w:szCs w:val="18"/>
              </w:rPr>
              <w:t>Kad ir koks portfelis,  valdytojas  prisiima 1mEUR nuostolį už įtrauktas paskolas?</w:t>
            </w:r>
          </w:p>
        </w:tc>
        <w:tc>
          <w:tcPr>
            <w:tcW w:w="2694" w:type="dxa"/>
          </w:tcPr>
          <w:p w14:paraId="3734915D" w14:textId="318BE04F"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1 mln. Eur – tai maksimali išmokų suma, kurią finansų tarpininkas galėtų gauti, jei į portfelį įtrauktų 6,25 mln. Eur paskolų</w:t>
            </w:r>
          </w:p>
        </w:tc>
      </w:tr>
      <w:tr w:rsidR="002405A3" w:rsidRPr="00BC5F1C" w14:paraId="1559BE3A" w14:textId="77777777" w:rsidTr="00297A9C">
        <w:tc>
          <w:tcPr>
            <w:tcW w:w="1271" w:type="dxa"/>
            <w:vMerge w:val="restart"/>
          </w:tcPr>
          <w:p w14:paraId="3F47D06D" w14:textId="7EB2B95A"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6.</w:t>
            </w:r>
          </w:p>
        </w:tc>
        <w:tc>
          <w:tcPr>
            <w:tcW w:w="4110" w:type="dxa"/>
            <w:vMerge w:val="restart"/>
          </w:tcPr>
          <w:p w14:paraId="029A9D85" w14:textId="77777777" w:rsidR="002405A3" w:rsidRPr="0006180B" w:rsidRDefault="002405A3" w:rsidP="006F6AE5">
            <w:pPr>
              <w:jc w:val="both"/>
              <w:rPr>
                <w:rFonts w:ascii="Times New Roman" w:hAnsi="Times New Roman" w:cs="Times New Roman"/>
                <w:b/>
                <w:sz w:val="18"/>
                <w:szCs w:val="18"/>
              </w:rPr>
            </w:pPr>
            <w:r w:rsidRPr="0006180B">
              <w:rPr>
                <w:rFonts w:ascii="Times New Roman" w:hAnsi="Times New Roman" w:cs="Times New Roman"/>
                <w:b/>
                <w:sz w:val="18"/>
                <w:szCs w:val="18"/>
              </w:rPr>
              <w:t>Paskolos gavėjo tinkamumo sąlygos</w:t>
            </w:r>
          </w:p>
          <w:p w14:paraId="6D881AEC"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1.</w:t>
            </w:r>
            <w:r w:rsidRPr="006F6AE5">
              <w:rPr>
                <w:rFonts w:ascii="Times New Roman" w:hAnsi="Times New Roman" w:cs="Times New Roman"/>
                <w:bCs/>
                <w:sz w:val="18"/>
                <w:szCs w:val="18"/>
              </w:rPr>
              <w:tab/>
              <w:t>Paskolos teikiamos SVV subjektui ar DĮ.</w:t>
            </w:r>
          </w:p>
          <w:p w14:paraId="197DB471"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2. Paskolos gavėjai, kurių, Paskolos traukiamos į Portfelius, turi veikti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06800B53"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3. Paskolos gali būti teikiamos Paskolų gavėjams, kurie atitinka šiuos kriterijus:</w:t>
            </w:r>
          </w:p>
          <w:p w14:paraId="793F326F"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a)</w:t>
            </w:r>
            <w:r w:rsidRPr="006F6AE5">
              <w:rPr>
                <w:rFonts w:ascii="Times New Roman" w:hAnsi="Times New Roman" w:cs="Times New Roman"/>
                <w:bCs/>
                <w:sz w:val="18"/>
                <w:szCs w:val="18"/>
              </w:rPr>
              <w:tab/>
              <w:t>Paskolų gavėjai, kurie 2019 m. gruodžio 31 d. nebuvo laikomi sunkumų patiriančiais (kaip apibrėžta Bendrajame bendrosios išimties reglamente), ir</w:t>
            </w:r>
          </w:p>
          <w:p w14:paraId="087ED0E0" w14:textId="079F7D4C"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b)</w:t>
            </w:r>
            <w:r w:rsidRPr="006F6AE5">
              <w:rPr>
                <w:rFonts w:ascii="Times New Roman" w:hAnsi="Times New Roman" w:cs="Times New Roman"/>
                <w:bCs/>
                <w:sz w:val="18"/>
                <w:szCs w:val="18"/>
              </w:rPr>
              <w:tab/>
              <w:t xml:space="preserve">Paskolų gavėjai, kurie 2020 m. dėl COVID-19 protrūkio patyrė sunkumų. Laikoma, kad Paskolos gavėjas patyrė sunkumų, jei jo apyvarta sumažėjo ne mažiau kaip  40 proc. </w:t>
            </w:r>
          </w:p>
          <w:p w14:paraId="041FE14B"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Sumažėjusi apyvarta vertinama:</w:t>
            </w:r>
          </w:p>
          <w:p w14:paraId="5612AB66"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1.</w:t>
            </w:r>
            <w:r w:rsidRPr="006F6AE5">
              <w:rPr>
                <w:rFonts w:ascii="Times New Roman" w:hAnsi="Times New Roman" w:cs="Times New Roman"/>
                <w:bCs/>
                <w:sz w:val="18"/>
                <w:szCs w:val="18"/>
              </w:rPr>
              <w:tab/>
              <w:t>Paskolų gavėjų, kurie pradėjo veikti vėliau nei 2019 m. sausio 1 d. atveju, imant praeitų metų mėnesio apyvartos vidurkį ir lyginant su Paskolos gavėjo pateikta kovo ir vėlesnių mėnesių apyvarta.</w:t>
            </w:r>
          </w:p>
          <w:p w14:paraId="254647E4" w14:textId="77777777"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2.</w:t>
            </w:r>
            <w:r w:rsidRPr="006F6AE5">
              <w:rPr>
                <w:rFonts w:ascii="Times New Roman" w:hAnsi="Times New Roman" w:cs="Times New Roman"/>
                <w:bCs/>
                <w:sz w:val="18"/>
                <w:szCs w:val="18"/>
              </w:rPr>
              <w:tab/>
              <w:t>Paskolų gavėjų, kurie pradėjo veikti anksčiau nei 2019 m. sausio 1 d. atveju, lyginant praeitų ir einamųjų metų mėnesio apyvartos vidurkį už tą patį laikotarpį (pvz., lyginant 2019 metų kovo mėnesio apyvartą su 2020 metų kovo mėnesio apyvarta).</w:t>
            </w:r>
          </w:p>
          <w:p w14:paraId="4113BFD0" w14:textId="1440B585" w:rsidR="002405A3" w:rsidRPr="006F6AE5" w:rsidRDefault="002405A3" w:rsidP="006F6AE5">
            <w:pPr>
              <w:jc w:val="both"/>
              <w:rPr>
                <w:rFonts w:ascii="Times New Roman" w:hAnsi="Times New Roman" w:cs="Times New Roman"/>
                <w:bCs/>
                <w:sz w:val="18"/>
                <w:szCs w:val="18"/>
              </w:rPr>
            </w:pPr>
            <w:r w:rsidRPr="006F6AE5">
              <w:rPr>
                <w:rFonts w:ascii="Times New Roman" w:hAnsi="Times New Roman" w:cs="Times New Roman"/>
                <w:bCs/>
                <w:sz w:val="18"/>
                <w:szCs w:val="18"/>
              </w:rPr>
              <w:t>Esant poreikiui šis vertinimo kriterijaus išaiškinimas gali būti keičiamas</w:t>
            </w:r>
          </w:p>
        </w:tc>
        <w:tc>
          <w:tcPr>
            <w:tcW w:w="4252" w:type="dxa"/>
          </w:tcPr>
          <w:p w14:paraId="57A989F4" w14:textId="77777777" w:rsidR="002405A3" w:rsidRPr="00075309" w:rsidRDefault="002405A3" w:rsidP="00075309">
            <w:pPr>
              <w:jc w:val="both"/>
              <w:rPr>
                <w:rFonts w:ascii="Times New Roman" w:hAnsi="Times New Roman" w:cs="Times New Roman"/>
                <w:sz w:val="18"/>
                <w:szCs w:val="18"/>
              </w:rPr>
            </w:pPr>
            <w:r w:rsidRPr="00075309">
              <w:rPr>
                <w:rFonts w:ascii="Times New Roman" w:hAnsi="Times New Roman" w:cs="Times New Roman"/>
                <w:sz w:val="18"/>
                <w:szCs w:val="18"/>
              </w:rPr>
              <w:t xml:space="preserve">Siūlome laikyti, kad Paskolos gavėjas patyrė sunkumų, jei jo apyvarta sumažėjo </w:t>
            </w:r>
            <w:r w:rsidRPr="00075309">
              <w:rPr>
                <w:rFonts w:ascii="Times New Roman" w:hAnsi="Times New Roman" w:cs="Times New Roman"/>
                <w:sz w:val="18"/>
                <w:szCs w:val="18"/>
                <w:u w:val="single"/>
              </w:rPr>
              <w:t>ne mažiau kaip  20 proc.</w:t>
            </w:r>
          </w:p>
          <w:p w14:paraId="2DB25CB7" w14:textId="56A5F203" w:rsidR="002405A3" w:rsidRPr="006F6AE5" w:rsidRDefault="002405A3" w:rsidP="00075309">
            <w:pPr>
              <w:pStyle w:val="ListParagraph"/>
              <w:jc w:val="both"/>
              <w:rPr>
                <w:rFonts w:ascii="Times New Roman" w:hAnsi="Times New Roman" w:cs="Times New Roman"/>
                <w:sz w:val="18"/>
                <w:szCs w:val="18"/>
              </w:rPr>
            </w:pPr>
          </w:p>
        </w:tc>
        <w:tc>
          <w:tcPr>
            <w:tcW w:w="2694" w:type="dxa"/>
            <w:vMerge w:val="restart"/>
          </w:tcPr>
          <w:p w14:paraId="2E9B9D44" w14:textId="5E2908F8"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Paskolos gavėjo tinkamumo sąlygos bus suderintos ir patikslintos</w:t>
            </w:r>
            <w:r w:rsidRPr="00103E4F">
              <w:rPr>
                <w:rFonts w:ascii="Times New Roman" w:hAnsi="Times New Roman" w:cs="Times New Roman"/>
                <w:sz w:val="18"/>
                <w:szCs w:val="18"/>
              </w:rPr>
              <w:t>, atsižvelgus į pateiktus siūlymus</w:t>
            </w:r>
          </w:p>
        </w:tc>
      </w:tr>
      <w:tr w:rsidR="002405A3" w:rsidRPr="00BC5F1C" w14:paraId="30BDF450" w14:textId="77777777" w:rsidTr="00297A9C">
        <w:tc>
          <w:tcPr>
            <w:tcW w:w="1271" w:type="dxa"/>
            <w:vMerge/>
          </w:tcPr>
          <w:p w14:paraId="6CFB79A6" w14:textId="77777777" w:rsidR="002405A3" w:rsidRDefault="002405A3" w:rsidP="007F1AA0">
            <w:pPr>
              <w:jc w:val="center"/>
              <w:rPr>
                <w:rFonts w:ascii="Times New Roman" w:hAnsi="Times New Roman" w:cs="Times New Roman"/>
                <w:sz w:val="18"/>
                <w:szCs w:val="18"/>
              </w:rPr>
            </w:pPr>
          </w:p>
        </w:tc>
        <w:tc>
          <w:tcPr>
            <w:tcW w:w="4110" w:type="dxa"/>
            <w:vMerge/>
          </w:tcPr>
          <w:p w14:paraId="0676B96A" w14:textId="77777777" w:rsidR="002405A3" w:rsidRPr="006F6AE5" w:rsidRDefault="002405A3" w:rsidP="006F6AE5">
            <w:pPr>
              <w:jc w:val="both"/>
              <w:rPr>
                <w:rFonts w:ascii="Times New Roman" w:hAnsi="Times New Roman" w:cs="Times New Roman"/>
                <w:bCs/>
                <w:sz w:val="18"/>
                <w:szCs w:val="18"/>
              </w:rPr>
            </w:pPr>
          </w:p>
        </w:tc>
        <w:tc>
          <w:tcPr>
            <w:tcW w:w="4252" w:type="dxa"/>
            <w:shd w:val="clear" w:color="auto" w:fill="auto"/>
          </w:tcPr>
          <w:p w14:paraId="786515D6" w14:textId="604C3A0D" w:rsidR="002405A3" w:rsidRPr="00103E4F" w:rsidRDefault="002405A3" w:rsidP="0060637D">
            <w:pPr>
              <w:pStyle w:val="CommentText"/>
              <w:rPr>
                <w:rFonts w:ascii="Times New Roman" w:hAnsi="Times New Roman" w:cs="Times New Roman"/>
                <w:bCs/>
                <w:sz w:val="18"/>
                <w:szCs w:val="18"/>
              </w:rPr>
            </w:pPr>
            <w:r w:rsidRPr="00103E4F">
              <w:rPr>
                <w:rFonts w:ascii="Times New Roman" w:hAnsi="Times New Roman" w:cs="Times New Roman"/>
                <w:bCs/>
                <w:sz w:val="18"/>
                <w:szCs w:val="18"/>
              </w:rPr>
              <w:t xml:space="preserve">„Paskolos gavėjas patyrė sunkumų, jei jo apyvarta sumažėjo ne mažiau kaip  40 </w:t>
            </w:r>
            <w:proofErr w:type="spellStart"/>
            <w:r w:rsidRPr="00103E4F">
              <w:rPr>
                <w:rFonts w:ascii="Times New Roman" w:hAnsi="Times New Roman" w:cs="Times New Roman"/>
                <w:bCs/>
                <w:sz w:val="18"/>
                <w:szCs w:val="18"/>
              </w:rPr>
              <w:t>proc</w:t>
            </w:r>
            <w:proofErr w:type="spellEnd"/>
            <w:r w:rsidRPr="00103E4F">
              <w:rPr>
                <w:rFonts w:ascii="Times New Roman" w:hAnsi="Times New Roman" w:cs="Times New Roman"/>
                <w:bCs/>
                <w:sz w:val="18"/>
                <w:szCs w:val="18"/>
              </w:rPr>
              <w:t>“  Kodėl ne mažiau žodis? Per diskusijas buvo sakoma iki 50%. Apyvarta tik vienas iš indikatorių, esmė – srautas, likvidumas.</w:t>
            </w:r>
          </w:p>
          <w:p w14:paraId="60E47874" w14:textId="77777777" w:rsidR="002405A3" w:rsidRPr="00103E4F" w:rsidRDefault="002405A3" w:rsidP="0060637D">
            <w:pPr>
              <w:pStyle w:val="CommentText"/>
              <w:rPr>
                <w:rFonts w:ascii="Times New Roman" w:hAnsi="Times New Roman" w:cs="Times New Roman"/>
                <w:bCs/>
                <w:sz w:val="18"/>
                <w:szCs w:val="18"/>
              </w:rPr>
            </w:pPr>
            <w:r w:rsidRPr="00103E4F">
              <w:rPr>
                <w:rFonts w:ascii="Times New Roman" w:hAnsi="Times New Roman" w:cs="Times New Roman"/>
                <w:bCs/>
                <w:sz w:val="18"/>
                <w:szCs w:val="18"/>
              </w:rPr>
              <w:t>Jei turėsim įmonę su apyvartos kritimu 30%, bet likvidumas tragiškas, pateks po šią priemone? Ar neapsisiaurinsime su šia sąlyga įtrakti įmones į portfelį?</w:t>
            </w:r>
          </w:p>
          <w:p w14:paraId="13B3BE66" w14:textId="5E77DF3C" w:rsidR="002405A3" w:rsidRPr="00103E4F" w:rsidRDefault="002405A3" w:rsidP="0060637D">
            <w:pPr>
              <w:pStyle w:val="CommentText"/>
              <w:rPr>
                <w:rFonts w:ascii="Times New Roman" w:hAnsi="Times New Roman" w:cs="Times New Roman"/>
                <w:bCs/>
                <w:sz w:val="18"/>
                <w:szCs w:val="18"/>
              </w:rPr>
            </w:pPr>
            <w:r w:rsidRPr="00103E4F">
              <w:rPr>
                <w:rFonts w:ascii="Times New Roman" w:hAnsi="Times New Roman" w:cs="Times New Roman"/>
                <w:bCs/>
                <w:sz w:val="18"/>
                <w:szCs w:val="18"/>
              </w:rPr>
              <w:t>Gali būti situacija, kad kovo mėn. krito 70% vs. 2019 m., o balandį  -60 %, o gegužę – jau 40%. Tai toks klientas pateks į šią priemonę, jei Bankas jo paraišką ir sprendimą priims 05 mėn.?</w:t>
            </w:r>
          </w:p>
        </w:tc>
        <w:tc>
          <w:tcPr>
            <w:tcW w:w="2694" w:type="dxa"/>
            <w:vMerge/>
          </w:tcPr>
          <w:p w14:paraId="719C0CF1" w14:textId="77777777" w:rsidR="002405A3" w:rsidRDefault="002405A3" w:rsidP="00080D5D">
            <w:pPr>
              <w:jc w:val="both"/>
              <w:rPr>
                <w:rFonts w:ascii="Times New Roman" w:hAnsi="Times New Roman" w:cs="Times New Roman"/>
                <w:sz w:val="18"/>
                <w:szCs w:val="18"/>
              </w:rPr>
            </w:pPr>
          </w:p>
        </w:tc>
      </w:tr>
      <w:tr w:rsidR="002405A3" w:rsidRPr="00BC5F1C" w14:paraId="26BB7B9C" w14:textId="77777777" w:rsidTr="00297A9C">
        <w:tc>
          <w:tcPr>
            <w:tcW w:w="1271" w:type="dxa"/>
            <w:vMerge/>
          </w:tcPr>
          <w:p w14:paraId="627528A5" w14:textId="77777777" w:rsidR="002405A3" w:rsidRDefault="002405A3" w:rsidP="007F1AA0">
            <w:pPr>
              <w:jc w:val="center"/>
              <w:rPr>
                <w:rFonts w:ascii="Times New Roman" w:hAnsi="Times New Roman" w:cs="Times New Roman"/>
                <w:sz w:val="18"/>
                <w:szCs w:val="18"/>
              </w:rPr>
            </w:pPr>
          </w:p>
        </w:tc>
        <w:tc>
          <w:tcPr>
            <w:tcW w:w="4110" w:type="dxa"/>
            <w:vMerge/>
          </w:tcPr>
          <w:p w14:paraId="43A51EA1" w14:textId="77777777" w:rsidR="002405A3" w:rsidRPr="006F6AE5" w:rsidRDefault="002405A3" w:rsidP="006F6AE5">
            <w:pPr>
              <w:jc w:val="both"/>
              <w:rPr>
                <w:rFonts w:ascii="Times New Roman" w:hAnsi="Times New Roman" w:cs="Times New Roman"/>
                <w:bCs/>
                <w:sz w:val="18"/>
                <w:szCs w:val="18"/>
              </w:rPr>
            </w:pPr>
          </w:p>
        </w:tc>
        <w:tc>
          <w:tcPr>
            <w:tcW w:w="4252" w:type="dxa"/>
            <w:shd w:val="clear" w:color="auto" w:fill="auto"/>
          </w:tcPr>
          <w:p w14:paraId="3094D46A" w14:textId="7BE47FF6" w:rsidR="002405A3" w:rsidRPr="00103E4F" w:rsidRDefault="002405A3" w:rsidP="00075309">
            <w:pPr>
              <w:pStyle w:val="CommentText"/>
              <w:rPr>
                <w:rFonts w:ascii="Times New Roman" w:hAnsi="Times New Roman" w:cs="Times New Roman"/>
                <w:bCs/>
                <w:sz w:val="18"/>
                <w:szCs w:val="18"/>
              </w:rPr>
            </w:pPr>
            <w:r w:rsidRPr="00103E4F">
              <w:rPr>
                <w:rFonts w:ascii="Times New Roman" w:hAnsi="Times New Roman" w:cs="Times New Roman"/>
                <w:bCs/>
                <w:sz w:val="18"/>
                <w:szCs w:val="18"/>
              </w:rPr>
              <w:t>Dokumento 4 punkto skiltis „Paskolos gavėjo tinkamumo sąlygos“, nurodoma kad „b) Paskolų gavėjai, kurie 2020 m. dėl COVID-19 protrūkio patyrė sunkumų. Laikoma, kad Paskolos gavėjas patyrė sunkumų, jei jo apyvarta sumažėjo ne mažiau kaip 40 proc.“. Šio reikalavimo laikymasis yra patikrinamas tik įmonės deklaracija. Taip pat gali būti situacija, kai įmonės apyvarta sumažėjo mažiau kaip 40 proc., tačiau įmonės likvidumas itin problematiškas. Tokia įmonė negalėtų gauti garantijos.</w:t>
            </w:r>
          </w:p>
        </w:tc>
        <w:tc>
          <w:tcPr>
            <w:tcW w:w="2694" w:type="dxa"/>
            <w:vMerge/>
          </w:tcPr>
          <w:p w14:paraId="58A5BCC0" w14:textId="77777777" w:rsidR="002405A3" w:rsidRDefault="002405A3" w:rsidP="00080D5D">
            <w:pPr>
              <w:jc w:val="both"/>
              <w:rPr>
                <w:rFonts w:ascii="Times New Roman" w:hAnsi="Times New Roman" w:cs="Times New Roman"/>
                <w:sz w:val="18"/>
                <w:szCs w:val="18"/>
              </w:rPr>
            </w:pPr>
          </w:p>
        </w:tc>
      </w:tr>
      <w:tr w:rsidR="002405A3" w:rsidRPr="00BC5F1C" w14:paraId="665668A5" w14:textId="77777777" w:rsidTr="00297A9C">
        <w:tc>
          <w:tcPr>
            <w:tcW w:w="1271" w:type="dxa"/>
            <w:vMerge/>
          </w:tcPr>
          <w:p w14:paraId="555314E7" w14:textId="77777777" w:rsidR="002405A3" w:rsidRDefault="002405A3" w:rsidP="007F1AA0">
            <w:pPr>
              <w:jc w:val="center"/>
              <w:rPr>
                <w:rFonts w:ascii="Times New Roman" w:hAnsi="Times New Roman" w:cs="Times New Roman"/>
                <w:sz w:val="18"/>
                <w:szCs w:val="18"/>
              </w:rPr>
            </w:pPr>
          </w:p>
        </w:tc>
        <w:tc>
          <w:tcPr>
            <w:tcW w:w="4110" w:type="dxa"/>
            <w:vMerge/>
          </w:tcPr>
          <w:p w14:paraId="6F55B2EA" w14:textId="77777777" w:rsidR="002405A3" w:rsidRPr="006F6AE5" w:rsidRDefault="002405A3" w:rsidP="006F6AE5">
            <w:pPr>
              <w:jc w:val="both"/>
              <w:rPr>
                <w:rFonts w:ascii="Times New Roman" w:hAnsi="Times New Roman" w:cs="Times New Roman"/>
                <w:bCs/>
                <w:sz w:val="18"/>
                <w:szCs w:val="18"/>
              </w:rPr>
            </w:pPr>
          </w:p>
        </w:tc>
        <w:tc>
          <w:tcPr>
            <w:tcW w:w="4252" w:type="dxa"/>
          </w:tcPr>
          <w:p w14:paraId="74CE8E1F" w14:textId="77777777" w:rsidR="002405A3" w:rsidRPr="003E1D13" w:rsidRDefault="002405A3" w:rsidP="00075309">
            <w:pPr>
              <w:pStyle w:val="CommentText"/>
              <w:rPr>
                <w:rFonts w:ascii="Times New Roman" w:hAnsi="Times New Roman" w:cs="Times New Roman"/>
                <w:bCs/>
                <w:sz w:val="18"/>
                <w:szCs w:val="18"/>
              </w:rPr>
            </w:pPr>
            <w:r w:rsidRPr="003E1D13">
              <w:rPr>
                <w:rFonts w:ascii="Times New Roman" w:hAnsi="Times New Roman" w:cs="Times New Roman"/>
                <w:bCs/>
                <w:sz w:val="18"/>
                <w:szCs w:val="18"/>
              </w:rPr>
              <w:t xml:space="preserve">Už kokį terminą skaičiuojamas 40% apyvartos sumažėjimas: mėnesį, du, ketvirtį, ar </w:t>
            </w:r>
            <w:proofErr w:type="spellStart"/>
            <w:r w:rsidRPr="003E1D13">
              <w:rPr>
                <w:rFonts w:ascii="Times New Roman" w:hAnsi="Times New Roman" w:cs="Times New Roman"/>
                <w:bCs/>
                <w:sz w:val="18"/>
                <w:szCs w:val="18"/>
              </w:rPr>
              <w:t>kt</w:t>
            </w:r>
            <w:proofErr w:type="spellEnd"/>
            <w:r w:rsidRPr="003E1D13">
              <w:rPr>
                <w:rFonts w:ascii="Times New Roman" w:hAnsi="Times New Roman" w:cs="Times New Roman"/>
                <w:bCs/>
                <w:sz w:val="18"/>
                <w:szCs w:val="18"/>
              </w:rPr>
              <w:t xml:space="preserve">? Ar apyvartos vidurkis ir atitinkamai pokytis lyginant su 2019 m. gali būti skaičiuojamas už tam tikrą laikotarpį pasirinktinai, ar kaupimo principu? Pvz. jei klientą vertinsime 2020 rugsėjį, ar reikės lyginti jo apyvartas nuo 03 iki 09 </w:t>
            </w:r>
            <w:proofErr w:type="spellStart"/>
            <w:r w:rsidRPr="003E1D13">
              <w:rPr>
                <w:rFonts w:ascii="Times New Roman" w:hAnsi="Times New Roman" w:cs="Times New Roman"/>
                <w:bCs/>
                <w:sz w:val="18"/>
                <w:szCs w:val="18"/>
              </w:rPr>
              <w:t>mėn</w:t>
            </w:r>
            <w:proofErr w:type="spellEnd"/>
            <w:r w:rsidRPr="003E1D13">
              <w:rPr>
                <w:rFonts w:ascii="Times New Roman" w:hAnsi="Times New Roman" w:cs="Times New Roman"/>
                <w:bCs/>
                <w:sz w:val="18"/>
                <w:szCs w:val="18"/>
              </w:rPr>
              <w:t xml:space="preserve">, ar tik </w:t>
            </w:r>
            <w:proofErr w:type="spellStart"/>
            <w:r w:rsidRPr="003E1D13">
              <w:rPr>
                <w:rFonts w:ascii="Times New Roman" w:hAnsi="Times New Roman" w:cs="Times New Roman"/>
                <w:bCs/>
                <w:sz w:val="18"/>
                <w:szCs w:val="18"/>
              </w:rPr>
              <w:t>pvz</w:t>
            </w:r>
            <w:proofErr w:type="spellEnd"/>
            <w:r w:rsidRPr="003E1D13">
              <w:rPr>
                <w:rFonts w:ascii="Times New Roman" w:hAnsi="Times New Roman" w:cs="Times New Roman"/>
                <w:bCs/>
                <w:sz w:val="18"/>
                <w:szCs w:val="18"/>
              </w:rPr>
              <w:t xml:space="preserve"> už 03-05?</w:t>
            </w:r>
          </w:p>
          <w:p w14:paraId="45BDA269" w14:textId="77777777" w:rsidR="002405A3" w:rsidRPr="003E1D13" w:rsidRDefault="002405A3" w:rsidP="00364FD2">
            <w:pPr>
              <w:pStyle w:val="ListParagraph"/>
              <w:jc w:val="both"/>
              <w:rPr>
                <w:rFonts w:ascii="Times New Roman" w:hAnsi="Times New Roman" w:cs="Times New Roman"/>
                <w:bCs/>
                <w:sz w:val="18"/>
                <w:szCs w:val="18"/>
              </w:rPr>
            </w:pPr>
          </w:p>
        </w:tc>
        <w:tc>
          <w:tcPr>
            <w:tcW w:w="2694" w:type="dxa"/>
            <w:vMerge/>
          </w:tcPr>
          <w:p w14:paraId="170C6319" w14:textId="77777777" w:rsidR="002405A3" w:rsidRDefault="002405A3" w:rsidP="00080D5D">
            <w:pPr>
              <w:jc w:val="both"/>
              <w:rPr>
                <w:rFonts w:ascii="Times New Roman" w:hAnsi="Times New Roman" w:cs="Times New Roman"/>
                <w:sz w:val="18"/>
                <w:szCs w:val="18"/>
              </w:rPr>
            </w:pPr>
          </w:p>
        </w:tc>
      </w:tr>
      <w:tr w:rsidR="002405A3" w:rsidRPr="00BC5F1C" w14:paraId="2DDD5A25" w14:textId="77777777" w:rsidTr="00297A9C">
        <w:tc>
          <w:tcPr>
            <w:tcW w:w="1271" w:type="dxa"/>
            <w:vMerge/>
          </w:tcPr>
          <w:p w14:paraId="050A50C2" w14:textId="77777777" w:rsidR="002405A3" w:rsidRDefault="002405A3" w:rsidP="007F1AA0">
            <w:pPr>
              <w:jc w:val="center"/>
              <w:rPr>
                <w:rFonts w:ascii="Times New Roman" w:hAnsi="Times New Roman" w:cs="Times New Roman"/>
                <w:sz w:val="18"/>
                <w:szCs w:val="18"/>
              </w:rPr>
            </w:pPr>
          </w:p>
        </w:tc>
        <w:tc>
          <w:tcPr>
            <w:tcW w:w="4110" w:type="dxa"/>
            <w:vMerge/>
          </w:tcPr>
          <w:p w14:paraId="77C8C2C5" w14:textId="77777777" w:rsidR="002405A3" w:rsidRPr="006F6AE5" w:rsidRDefault="002405A3" w:rsidP="006F6AE5">
            <w:pPr>
              <w:jc w:val="both"/>
              <w:rPr>
                <w:rFonts w:ascii="Times New Roman" w:hAnsi="Times New Roman" w:cs="Times New Roman"/>
                <w:bCs/>
                <w:sz w:val="18"/>
                <w:szCs w:val="18"/>
              </w:rPr>
            </w:pPr>
          </w:p>
        </w:tc>
        <w:tc>
          <w:tcPr>
            <w:tcW w:w="4252" w:type="dxa"/>
          </w:tcPr>
          <w:p w14:paraId="244C3BA1" w14:textId="77777777" w:rsidR="002405A3" w:rsidRPr="00075309" w:rsidRDefault="002405A3" w:rsidP="00075309">
            <w:pPr>
              <w:jc w:val="both"/>
              <w:rPr>
                <w:rFonts w:ascii="Times New Roman" w:hAnsi="Times New Roman" w:cs="Times New Roman"/>
                <w:sz w:val="18"/>
                <w:szCs w:val="18"/>
              </w:rPr>
            </w:pPr>
            <w:r w:rsidRPr="00075309">
              <w:rPr>
                <w:rFonts w:ascii="Times New Roman" w:hAnsi="Times New Roman" w:cs="Times New Roman"/>
                <w:sz w:val="18"/>
                <w:szCs w:val="18"/>
              </w:rPr>
              <w:t>Dėl 3 punkto: Sumažėjusi apyvarta vertinama:</w:t>
            </w:r>
          </w:p>
          <w:p w14:paraId="1B984284" w14:textId="77777777" w:rsidR="002405A3" w:rsidRPr="00E72073" w:rsidRDefault="002405A3" w:rsidP="00075309">
            <w:pPr>
              <w:pStyle w:val="ListParagraph"/>
              <w:ind w:left="36"/>
              <w:jc w:val="both"/>
              <w:rPr>
                <w:rFonts w:ascii="Times New Roman" w:hAnsi="Times New Roman" w:cs="Times New Roman"/>
                <w:b/>
                <w:bCs/>
                <w:i/>
                <w:iCs/>
                <w:sz w:val="18"/>
                <w:szCs w:val="18"/>
              </w:rPr>
            </w:pPr>
            <w:r>
              <w:rPr>
                <w:rFonts w:ascii="Times New Roman" w:hAnsi="Times New Roman" w:cs="Times New Roman"/>
                <w:sz w:val="18"/>
                <w:szCs w:val="18"/>
              </w:rPr>
              <w:t>Vietoje „</w:t>
            </w:r>
            <w:r w:rsidRPr="00E72073">
              <w:rPr>
                <w:rFonts w:ascii="Times New Roman" w:hAnsi="Times New Roman" w:cs="Times New Roman"/>
                <w:i/>
                <w:iCs/>
                <w:sz w:val="18"/>
                <w:szCs w:val="18"/>
              </w:rPr>
              <w:t>Paskolų gavėjų, kurie pradėjo veikti vėliau nei 2019 m. sausio 1 d. atveju, imant praeitų metų mėnesio apyvartos vidurkį ir lyginant su Paskolos gavėjo pateikta kovo ir vėlesnių mėnesių apyvarta</w:t>
            </w:r>
            <w:r>
              <w:rPr>
                <w:rFonts w:ascii="Times New Roman" w:hAnsi="Times New Roman" w:cs="Times New Roman"/>
                <w:i/>
                <w:iCs/>
                <w:sz w:val="18"/>
                <w:szCs w:val="18"/>
              </w:rPr>
              <w:t xml:space="preserve">“, </w:t>
            </w:r>
            <w:r w:rsidRPr="00E72073">
              <w:rPr>
                <w:rFonts w:ascii="Times New Roman" w:hAnsi="Times New Roman" w:cs="Times New Roman"/>
                <w:sz w:val="18"/>
                <w:szCs w:val="18"/>
              </w:rPr>
              <w:t>siūlome</w:t>
            </w:r>
            <w:r>
              <w:rPr>
                <w:rFonts w:ascii="Times New Roman" w:hAnsi="Times New Roman" w:cs="Times New Roman"/>
                <w:i/>
                <w:iCs/>
                <w:sz w:val="18"/>
                <w:szCs w:val="18"/>
              </w:rPr>
              <w:t xml:space="preserve">  </w:t>
            </w:r>
            <w:r w:rsidRPr="00E72073">
              <w:rPr>
                <w:rFonts w:ascii="Times New Roman" w:hAnsi="Times New Roman" w:cs="Times New Roman"/>
                <w:sz w:val="18"/>
                <w:szCs w:val="18"/>
              </w:rPr>
              <w:t xml:space="preserve"> </w:t>
            </w:r>
            <w:r w:rsidRPr="00103E4F">
              <w:rPr>
                <w:rFonts w:ascii="Times New Roman" w:hAnsi="Times New Roman" w:cs="Times New Roman"/>
                <w:b/>
                <w:bCs/>
                <w:i/>
                <w:iCs/>
                <w:sz w:val="18"/>
                <w:szCs w:val="18"/>
              </w:rPr>
              <w:t>Paskolų gavėjų, kurie pradėjo veikti vėliau nei 2019 m. sausio 1 d. atveju, imant praeitų metų mėnesio apyvartos vidurkį ir lyginant su Paskolos gavėjo pateikta vidutine mėnesio apyvarta po kovo 16 d.</w:t>
            </w:r>
          </w:p>
          <w:p w14:paraId="6BE4E46B" w14:textId="77777777" w:rsidR="002405A3" w:rsidRPr="006F6AE5" w:rsidRDefault="002405A3" w:rsidP="00364FD2">
            <w:pPr>
              <w:pStyle w:val="ListParagraph"/>
              <w:jc w:val="both"/>
              <w:rPr>
                <w:rFonts w:ascii="Times New Roman" w:hAnsi="Times New Roman" w:cs="Times New Roman"/>
                <w:sz w:val="18"/>
                <w:szCs w:val="18"/>
              </w:rPr>
            </w:pPr>
          </w:p>
        </w:tc>
        <w:tc>
          <w:tcPr>
            <w:tcW w:w="2694" w:type="dxa"/>
            <w:vMerge/>
          </w:tcPr>
          <w:p w14:paraId="471BC998" w14:textId="77777777" w:rsidR="002405A3" w:rsidRDefault="002405A3" w:rsidP="00080D5D">
            <w:pPr>
              <w:jc w:val="both"/>
              <w:rPr>
                <w:rFonts w:ascii="Times New Roman" w:hAnsi="Times New Roman" w:cs="Times New Roman"/>
                <w:sz w:val="18"/>
                <w:szCs w:val="18"/>
              </w:rPr>
            </w:pPr>
          </w:p>
        </w:tc>
      </w:tr>
      <w:tr w:rsidR="002405A3" w:rsidRPr="00BC5F1C" w14:paraId="3EBDE137" w14:textId="77777777" w:rsidTr="00297A9C">
        <w:tc>
          <w:tcPr>
            <w:tcW w:w="1271" w:type="dxa"/>
            <w:vMerge/>
          </w:tcPr>
          <w:p w14:paraId="676AAD5D" w14:textId="77777777" w:rsidR="002405A3" w:rsidRDefault="002405A3" w:rsidP="007F1AA0">
            <w:pPr>
              <w:jc w:val="center"/>
              <w:rPr>
                <w:rFonts w:ascii="Times New Roman" w:hAnsi="Times New Roman" w:cs="Times New Roman"/>
                <w:sz w:val="18"/>
                <w:szCs w:val="18"/>
              </w:rPr>
            </w:pPr>
          </w:p>
        </w:tc>
        <w:tc>
          <w:tcPr>
            <w:tcW w:w="4110" w:type="dxa"/>
            <w:vMerge/>
          </w:tcPr>
          <w:p w14:paraId="0289C625" w14:textId="77777777" w:rsidR="002405A3" w:rsidRPr="006F6AE5" w:rsidRDefault="002405A3" w:rsidP="006F6AE5">
            <w:pPr>
              <w:jc w:val="both"/>
              <w:rPr>
                <w:rFonts w:ascii="Times New Roman" w:hAnsi="Times New Roman" w:cs="Times New Roman"/>
                <w:bCs/>
                <w:sz w:val="18"/>
                <w:szCs w:val="18"/>
              </w:rPr>
            </w:pPr>
          </w:p>
        </w:tc>
        <w:tc>
          <w:tcPr>
            <w:tcW w:w="4252" w:type="dxa"/>
          </w:tcPr>
          <w:p w14:paraId="36BFDD16" w14:textId="77777777" w:rsidR="002405A3" w:rsidRPr="00075309" w:rsidRDefault="002405A3" w:rsidP="00075309">
            <w:pPr>
              <w:jc w:val="both"/>
              <w:rPr>
                <w:rFonts w:ascii="Times New Roman" w:hAnsi="Times New Roman" w:cs="Times New Roman"/>
                <w:sz w:val="18"/>
                <w:szCs w:val="18"/>
              </w:rPr>
            </w:pPr>
            <w:r w:rsidRPr="00075309">
              <w:rPr>
                <w:rFonts w:ascii="Times New Roman" w:hAnsi="Times New Roman" w:cs="Times New Roman"/>
                <w:sz w:val="18"/>
                <w:szCs w:val="18"/>
              </w:rPr>
              <w:t>Dėl apyvartos kritimo vertinimo:</w:t>
            </w:r>
            <w:r>
              <w:t xml:space="preserve"> s</w:t>
            </w:r>
            <w:r w:rsidRPr="00075309">
              <w:rPr>
                <w:rFonts w:ascii="Times New Roman" w:hAnsi="Times New Roman" w:cs="Times New Roman"/>
                <w:sz w:val="18"/>
                <w:szCs w:val="18"/>
              </w:rPr>
              <w:t>iūlymas naujoms (po 2019 sausio 1 d.) įsisteigusioms įmonėms turėti mažesnę kartelę apyvartos kritimui nei 40%, kad jas vertinti kaip paveiktas Covid-19. Jauni verslai dažnai daro mažai apyvartos per savo pirmąjį veiklos pusmetį, todėl 2019 m. bendras metų apyvartos vidurkis gali būti gerokai mažesnis nei šių metų rezultatai ir -40% nuo praėjusių metų vidurkio galbūt būtų -70% nuo praėjusio ketvirčio vidutinės apyvartos. Tuo pačiu jie nebūna sukaupę "buferio", o gyvena į minusą vardan spartesnio augimo, dažnu atveju ir darbuotojų skaičius pas juos būna orientuotas į augimą</w:t>
            </w:r>
            <w:r w:rsidRPr="00103E4F">
              <w:rPr>
                <w:rFonts w:ascii="Times New Roman" w:hAnsi="Times New Roman" w:cs="Times New Roman"/>
                <w:sz w:val="18"/>
                <w:szCs w:val="18"/>
              </w:rPr>
              <w:t>. Todėl siūlome jaunų įmonių atveju kartelę sumažinti iki 25% ar 30% kai lyginami visi 2019 metais.</w:t>
            </w:r>
          </w:p>
          <w:p w14:paraId="7A83287E" w14:textId="77777777" w:rsidR="002405A3" w:rsidRPr="006F6AE5" w:rsidRDefault="002405A3" w:rsidP="00364FD2">
            <w:pPr>
              <w:pStyle w:val="ListParagraph"/>
              <w:jc w:val="both"/>
              <w:rPr>
                <w:rFonts w:ascii="Times New Roman" w:hAnsi="Times New Roman" w:cs="Times New Roman"/>
                <w:sz w:val="18"/>
                <w:szCs w:val="18"/>
              </w:rPr>
            </w:pPr>
          </w:p>
        </w:tc>
        <w:tc>
          <w:tcPr>
            <w:tcW w:w="2694" w:type="dxa"/>
            <w:vMerge/>
          </w:tcPr>
          <w:p w14:paraId="14B56CAE" w14:textId="77777777" w:rsidR="002405A3" w:rsidRDefault="002405A3" w:rsidP="00080D5D">
            <w:pPr>
              <w:jc w:val="both"/>
              <w:rPr>
                <w:rFonts w:ascii="Times New Roman" w:hAnsi="Times New Roman" w:cs="Times New Roman"/>
                <w:sz w:val="18"/>
                <w:szCs w:val="18"/>
              </w:rPr>
            </w:pPr>
          </w:p>
        </w:tc>
      </w:tr>
      <w:tr w:rsidR="002405A3" w:rsidRPr="00BC5F1C" w14:paraId="1CB7F364" w14:textId="77777777" w:rsidTr="00297A9C">
        <w:tc>
          <w:tcPr>
            <w:tcW w:w="1271" w:type="dxa"/>
            <w:vMerge/>
          </w:tcPr>
          <w:p w14:paraId="12F6C6DB" w14:textId="77777777" w:rsidR="002405A3" w:rsidRDefault="002405A3" w:rsidP="007F1AA0">
            <w:pPr>
              <w:jc w:val="center"/>
              <w:rPr>
                <w:rFonts w:ascii="Times New Roman" w:hAnsi="Times New Roman" w:cs="Times New Roman"/>
                <w:sz w:val="18"/>
                <w:szCs w:val="18"/>
              </w:rPr>
            </w:pPr>
          </w:p>
        </w:tc>
        <w:tc>
          <w:tcPr>
            <w:tcW w:w="4110" w:type="dxa"/>
            <w:vMerge/>
          </w:tcPr>
          <w:p w14:paraId="20376EFE" w14:textId="77777777" w:rsidR="002405A3" w:rsidRPr="006F6AE5" w:rsidRDefault="002405A3" w:rsidP="006F6AE5">
            <w:pPr>
              <w:jc w:val="both"/>
              <w:rPr>
                <w:rFonts w:ascii="Times New Roman" w:hAnsi="Times New Roman" w:cs="Times New Roman"/>
                <w:bCs/>
                <w:sz w:val="18"/>
                <w:szCs w:val="18"/>
              </w:rPr>
            </w:pPr>
          </w:p>
        </w:tc>
        <w:tc>
          <w:tcPr>
            <w:tcW w:w="4252" w:type="dxa"/>
          </w:tcPr>
          <w:p w14:paraId="09A9B8EE" w14:textId="55E1481E" w:rsidR="002405A3" w:rsidRPr="009A4AD0" w:rsidRDefault="002405A3" w:rsidP="009A4AD0">
            <w:pPr>
              <w:jc w:val="both"/>
              <w:rPr>
                <w:rFonts w:ascii="Times New Roman" w:hAnsi="Times New Roman" w:cs="Times New Roman"/>
                <w:sz w:val="18"/>
                <w:szCs w:val="18"/>
              </w:rPr>
            </w:pPr>
            <w:r w:rsidRPr="00061952">
              <w:rPr>
                <w:rFonts w:ascii="Times New Roman" w:hAnsi="Times New Roman" w:cs="Times New Roman"/>
                <w:sz w:val="18"/>
                <w:szCs w:val="18"/>
              </w:rPr>
              <w:t xml:space="preserve">Norėtume, jog finansuotojas </w:t>
            </w:r>
            <w:r w:rsidRPr="004566E5">
              <w:rPr>
                <w:rFonts w:ascii="Times New Roman" w:hAnsi="Times New Roman" w:cs="Times New Roman"/>
                <w:sz w:val="18"/>
                <w:szCs w:val="18"/>
              </w:rPr>
              <w:t>turėtų galimybę, nuo mokamos paskolos sumos nusirašyti kitas to paties kliento finansuotojui vėluojamas sumokėti sumas;</w:t>
            </w:r>
          </w:p>
        </w:tc>
        <w:tc>
          <w:tcPr>
            <w:tcW w:w="2694" w:type="dxa"/>
          </w:tcPr>
          <w:p w14:paraId="4F282DD8" w14:textId="6749FCDD"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Naujai suteikiamos p</w:t>
            </w:r>
            <w:r w:rsidRPr="00103E4F">
              <w:rPr>
                <w:rFonts w:ascii="Times New Roman" w:hAnsi="Times New Roman" w:cs="Times New Roman"/>
                <w:sz w:val="18"/>
                <w:szCs w:val="18"/>
              </w:rPr>
              <w:t>askolos negal</w:t>
            </w:r>
            <w:r>
              <w:rPr>
                <w:rFonts w:ascii="Times New Roman" w:hAnsi="Times New Roman" w:cs="Times New Roman"/>
                <w:sz w:val="18"/>
                <w:szCs w:val="18"/>
              </w:rPr>
              <w:t>ės</w:t>
            </w:r>
            <w:r w:rsidRPr="00103E4F">
              <w:rPr>
                <w:rFonts w:ascii="Times New Roman" w:hAnsi="Times New Roman" w:cs="Times New Roman"/>
                <w:sz w:val="18"/>
                <w:szCs w:val="18"/>
              </w:rPr>
              <w:t xml:space="preserve"> būti skiriamos jau esamų </w:t>
            </w:r>
            <w:r>
              <w:rPr>
                <w:rFonts w:ascii="Times New Roman" w:hAnsi="Times New Roman" w:cs="Times New Roman"/>
                <w:sz w:val="18"/>
                <w:szCs w:val="18"/>
              </w:rPr>
              <w:t>p</w:t>
            </w:r>
            <w:r w:rsidRPr="00103E4F">
              <w:rPr>
                <w:rFonts w:ascii="Times New Roman" w:hAnsi="Times New Roman" w:cs="Times New Roman"/>
                <w:sz w:val="18"/>
                <w:szCs w:val="18"/>
              </w:rPr>
              <w:t xml:space="preserve">askolos gavėjo paskolų </w:t>
            </w:r>
            <w:proofErr w:type="spellStart"/>
            <w:r w:rsidRPr="00103E4F">
              <w:rPr>
                <w:rFonts w:ascii="Times New Roman" w:hAnsi="Times New Roman" w:cs="Times New Roman"/>
                <w:sz w:val="18"/>
                <w:szCs w:val="18"/>
              </w:rPr>
              <w:t>refinansavimui</w:t>
            </w:r>
            <w:proofErr w:type="spellEnd"/>
          </w:p>
        </w:tc>
      </w:tr>
      <w:tr w:rsidR="002405A3" w:rsidRPr="00BC5F1C" w14:paraId="67448467" w14:textId="77777777" w:rsidTr="00297A9C">
        <w:tc>
          <w:tcPr>
            <w:tcW w:w="1271" w:type="dxa"/>
            <w:vMerge/>
          </w:tcPr>
          <w:p w14:paraId="6A2C8015" w14:textId="77777777" w:rsidR="002405A3" w:rsidRDefault="002405A3" w:rsidP="007F1AA0">
            <w:pPr>
              <w:jc w:val="center"/>
              <w:rPr>
                <w:rFonts w:ascii="Times New Roman" w:hAnsi="Times New Roman" w:cs="Times New Roman"/>
                <w:sz w:val="18"/>
                <w:szCs w:val="18"/>
              </w:rPr>
            </w:pPr>
          </w:p>
        </w:tc>
        <w:tc>
          <w:tcPr>
            <w:tcW w:w="4110" w:type="dxa"/>
            <w:vMerge/>
          </w:tcPr>
          <w:p w14:paraId="483A9DF7" w14:textId="77777777" w:rsidR="002405A3" w:rsidRPr="006F6AE5" w:rsidRDefault="002405A3" w:rsidP="006F6AE5">
            <w:pPr>
              <w:jc w:val="both"/>
              <w:rPr>
                <w:rFonts w:ascii="Times New Roman" w:hAnsi="Times New Roman" w:cs="Times New Roman"/>
                <w:bCs/>
                <w:sz w:val="18"/>
                <w:szCs w:val="18"/>
              </w:rPr>
            </w:pPr>
          </w:p>
        </w:tc>
        <w:tc>
          <w:tcPr>
            <w:tcW w:w="4252" w:type="dxa"/>
          </w:tcPr>
          <w:p w14:paraId="72B14909" w14:textId="77777777" w:rsidR="002405A3" w:rsidRPr="009A4AD0" w:rsidRDefault="002405A3" w:rsidP="009A4AD0">
            <w:pPr>
              <w:jc w:val="both"/>
              <w:rPr>
                <w:rFonts w:ascii="Times New Roman" w:hAnsi="Times New Roman" w:cs="Times New Roman"/>
                <w:sz w:val="18"/>
                <w:szCs w:val="18"/>
              </w:rPr>
            </w:pPr>
            <w:r w:rsidRPr="009A4AD0">
              <w:rPr>
                <w:rFonts w:ascii="Times New Roman" w:hAnsi="Times New Roman" w:cs="Times New Roman"/>
                <w:sz w:val="18"/>
                <w:szCs w:val="18"/>
              </w:rPr>
              <w:t>Dokumento 4 punkte nurodoma, kad „Paskola apima Lizingo sandorius (kurie laikomi investicine paskola) ir atgręžtinio Lizingo sandorius (kurie laikomi apyvartine paskola, skirta likvidumui palaikyti), išskyrus atvejus, kai aiškiai šiose sąlygose nurodyta kitaip.“ Ši sąvoka neapibrėžia Paskolos restruktūrizavimo atvejų.</w:t>
            </w:r>
          </w:p>
          <w:p w14:paraId="0BCADBA2" w14:textId="2FE36C68" w:rsidR="002405A3" w:rsidRPr="00075309" w:rsidRDefault="002405A3" w:rsidP="009A4AD0">
            <w:pPr>
              <w:jc w:val="both"/>
              <w:rPr>
                <w:rFonts w:ascii="Times New Roman" w:hAnsi="Times New Roman" w:cs="Times New Roman"/>
                <w:sz w:val="18"/>
                <w:szCs w:val="18"/>
              </w:rPr>
            </w:pPr>
          </w:p>
        </w:tc>
        <w:tc>
          <w:tcPr>
            <w:tcW w:w="2694" w:type="dxa"/>
          </w:tcPr>
          <w:p w14:paraId="00589399" w14:textId="22387AA9"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Poreikio atskirai išskirti  </w:t>
            </w:r>
            <w:proofErr w:type="spellStart"/>
            <w:r>
              <w:rPr>
                <w:rFonts w:ascii="Times New Roman" w:hAnsi="Times New Roman" w:cs="Times New Roman"/>
                <w:sz w:val="18"/>
                <w:szCs w:val="18"/>
              </w:rPr>
              <w:t>restruktūzuojamas</w:t>
            </w:r>
            <w:proofErr w:type="spellEnd"/>
            <w:r>
              <w:rPr>
                <w:rFonts w:ascii="Times New Roman" w:hAnsi="Times New Roman" w:cs="Times New Roman"/>
                <w:sz w:val="18"/>
                <w:szCs w:val="18"/>
              </w:rPr>
              <w:t xml:space="preserve"> paskolas nėra (ji laikoma Paskola), todėl atskiros sąvokos nepateikiame.</w:t>
            </w:r>
          </w:p>
        </w:tc>
      </w:tr>
      <w:tr w:rsidR="002405A3" w:rsidRPr="00BC5F1C" w14:paraId="552E5FF6" w14:textId="77777777" w:rsidTr="00297A9C">
        <w:tc>
          <w:tcPr>
            <w:tcW w:w="1271" w:type="dxa"/>
          </w:tcPr>
          <w:p w14:paraId="378DAD67" w14:textId="58CD2D80"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7.</w:t>
            </w:r>
          </w:p>
        </w:tc>
        <w:tc>
          <w:tcPr>
            <w:tcW w:w="4110" w:type="dxa"/>
          </w:tcPr>
          <w:p w14:paraId="56919779" w14:textId="77777777" w:rsidR="002405A3" w:rsidRDefault="002405A3" w:rsidP="006F6AE5">
            <w:pPr>
              <w:jc w:val="both"/>
              <w:rPr>
                <w:rFonts w:ascii="Times New Roman" w:hAnsi="Times New Roman" w:cs="Times New Roman"/>
                <w:b/>
                <w:sz w:val="18"/>
                <w:szCs w:val="18"/>
              </w:rPr>
            </w:pPr>
            <w:r w:rsidRPr="00074FF7">
              <w:rPr>
                <w:rFonts w:ascii="Times New Roman" w:hAnsi="Times New Roman" w:cs="Times New Roman"/>
                <w:b/>
                <w:sz w:val="18"/>
                <w:szCs w:val="18"/>
              </w:rPr>
              <w:t>Nuostolis</w:t>
            </w:r>
          </w:p>
          <w:p w14:paraId="293133A5" w14:textId="77777777"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
                <w:sz w:val="18"/>
                <w:szCs w:val="18"/>
              </w:rPr>
              <w:t>N</w:t>
            </w:r>
            <w:r w:rsidRPr="00074FF7">
              <w:rPr>
                <w:rFonts w:ascii="Times New Roman" w:hAnsi="Times New Roman" w:cs="Times New Roman"/>
                <w:bCs/>
                <w:sz w:val="18"/>
                <w:szCs w:val="18"/>
              </w:rPr>
              <w:t>uostolį sudaro:</w:t>
            </w:r>
          </w:p>
          <w:p w14:paraId="5F9714C9" w14:textId="77777777"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Cs/>
                <w:sz w:val="18"/>
                <w:szCs w:val="18"/>
              </w:rPr>
              <w:t>1.</w:t>
            </w:r>
            <w:r w:rsidRPr="00074FF7">
              <w:rPr>
                <w:rFonts w:ascii="Times New Roman" w:hAnsi="Times New Roman" w:cs="Times New Roman"/>
                <w:bCs/>
                <w:sz w:val="18"/>
                <w:szCs w:val="18"/>
              </w:rPr>
              <w:tab/>
              <w:t>negrąžinta paskolos dalis;</w:t>
            </w:r>
          </w:p>
          <w:p w14:paraId="514213DF" w14:textId="420546AD" w:rsidR="002405A3" w:rsidRPr="006F6AE5" w:rsidRDefault="002405A3" w:rsidP="00074FF7">
            <w:pPr>
              <w:jc w:val="both"/>
              <w:rPr>
                <w:rFonts w:ascii="Times New Roman" w:hAnsi="Times New Roman" w:cs="Times New Roman"/>
                <w:b/>
                <w:sz w:val="18"/>
                <w:szCs w:val="18"/>
              </w:rPr>
            </w:pPr>
            <w:r w:rsidRPr="00074FF7">
              <w:rPr>
                <w:rFonts w:ascii="Times New Roman" w:hAnsi="Times New Roman" w:cs="Times New Roman"/>
                <w:bCs/>
                <w:sz w:val="18"/>
                <w:szCs w:val="18"/>
              </w:rPr>
              <w:t>2.</w:t>
            </w:r>
            <w:r w:rsidRPr="00074FF7">
              <w:rPr>
                <w:rFonts w:ascii="Times New Roman" w:hAnsi="Times New Roman" w:cs="Times New Roman"/>
                <w:bCs/>
                <w:sz w:val="18"/>
                <w:szCs w:val="18"/>
              </w:rPr>
              <w:tab/>
              <w:t>ne daugiau kaip už 180 kalendorinių dienų nesumokėtos palūkanos</w:t>
            </w:r>
          </w:p>
        </w:tc>
        <w:tc>
          <w:tcPr>
            <w:tcW w:w="4252" w:type="dxa"/>
          </w:tcPr>
          <w:p w14:paraId="6F01287A" w14:textId="74D9637D" w:rsidR="002405A3" w:rsidRPr="0066528B" w:rsidRDefault="002405A3" w:rsidP="002861EB">
            <w:pPr>
              <w:jc w:val="both"/>
              <w:rPr>
                <w:rFonts w:ascii="Times New Roman" w:hAnsi="Times New Roman" w:cs="Times New Roman"/>
                <w:sz w:val="18"/>
                <w:szCs w:val="18"/>
              </w:rPr>
            </w:pPr>
            <w:r w:rsidRPr="00074FF7">
              <w:rPr>
                <w:rFonts w:ascii="Times New Roman" w:hAnsi="Times New Roman" w:cs="Times New Roman"/>
                <w:sz w:val="18"/>
                <w:szCs w:val="18"/>
              </w:rPr>
              <w:t>Ar visa negrąžinta paskolos dalis, ar ta kuri pradelsta daugiau nei 180 d.</w:t>
            </w:r>
            <w:r>
              <w:rPr>
                <w:rFonts w:ascii="Times New Roman" w:hAnsi="Times New Roman" w:cs="Times New Roman"/>
                <w:sz w:val="18"/>
                <w:szCs w:val="18"/>
              </w:rPr>
              <w:t>?</w:t>
            </w:r>
          </w:p>
        </w:tc>
        <w:tc>
          <w:tcPr>
            <w:tcW w:w="2694" w:type="dxa"/>
          </w:tcPr>
          <w:p w14:paraId="1A7AC1B0" w14:textId="1C76A445"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Taip, nuostolį sudaro visa negrąžinta paskolos dalis. Tiksliname sąlygas</w:t>
            </w:r>
          </w:p>
        </w:tc>
      </w:tr>
      <w:tr w:rsidR="002405A3" w:rsidRPr="00BC5F1C" w14:paraId="1914090B" w14:textId="77777777" w:rsidTr="00297A9C">
        <w:tc>
          <w:tcPr>
            <w:tcW w:w="1271" w:type="dxa"/>
            <w:vMerge w:val="restart"/>
          </w:tcPr>
          <w:p w14:paraId="147C96A3" w14:textId="7FF2D91B"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8.</w:t>
            </w:r>
          </w:p>
        </w:tc>
        <w:tc>
          <w:tcPr>
            <w:tcW w:w="4110" w:type="dxa"/>
            <w:vMerge w:val="restart"/>
          </w:tcPr>
          <w:p w14:paraId="1A5A218D" w14:textId="77777777" w:rsidR="002405A3" w:rsidRPr="00074FF7" w:rsidRDefault="002405A3" w:rsidP="006F6AE5">
            <w:pPr>
              <w:jc w:val="both"/>
              <w:rPr>
                <w:rFonts w:ascii="Times New Roman" w:hAnsi="Times New Roman" w:cs="Times New Roman"/>
                <w:b/>
                <w:sz w:val="18"/>
                <w:szCs w:val="18"/>
              </w:rPr>
            </w:pPr>
            <w:r w:rsidRPr="00074FF7">
              <w:rPr>
                <w:rFonts w:ascii="Times New Roman" w:hAnsi="Times New Roman" w:cs="Times New Roman"/>
                <w:b/>
                <w:sz w:val="18"/>
                <w:szCs w:val="18"/>
              </w:rPr>
              <w:t>Portfelio tinkamumo sąlygos</w:t>
            </w:r>
          </w:p>
          <w:p w14:paraId="1698C976" w14:textId="77777777"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Cs/>
                <w:sz w:val="18"/>
                <w:szCs w:val="18"/>
              </w:rPr>
              <w:t>1.</w:t>
            </w:r>
            <w:r w:rsidRPr="00074FF7">
              <w:rPr>
                <w:rFonts w:ascii="Times New Roman" w:hAnsi="Times New Roman" w:cs="Times New Roman"/>
                <w:bCs/>
                <w:sz w:val="18"/>
                <w:szCs w:val="18"/>
              </w:rPr>
              <w:tab/>
              <w:t>Pirminės žemės ūkio produkcijos gamybos, žuvininkystės ir akvakultūros sektoriuose pagrindinę veiklą vykdantiems, t. y. iš šių veiklų uždirbantiems daugiau nei 50 proc. pajamų per 2019 metus, Paskolos gavėjams suteiktų Paskolų koncentracija Portfelyje negali viršyti 20 proc. Sutartyje  numatyto Sutarto Portfelio dydžio sumos (pagal Ekonominės veiklos rūšių klasifikatorių (EVRK 2 redakcija) skyriaus lygmeniu);</w:t>
            </w:r>
          </w:p>
          <w:p w14:paraId="7E757ECB" w14:textId="77777777"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Cs/>
                <w:sz w:val="18"/>
                <w:szCs w:val="18"/>
              </w:rPr>
              <w:t>2. Viename ūkio sektoriuje pagrindinę veiklą vykdantiems SVV subjektams, t. y. iš šių veiklų uždirbantiems daugiau nei 50 proc. pajamų per 2019 metus, suteiktų Paskolų koncentracija Portfelyje negali viršyti 50 proc. Sutartyje  numatyto Sutarto Portfelio dydžio sumos (pagal Ekonominės veiklos rūšių klasifikatorių (EVRK 2 redakcija) skyriaus lygmeniu);</w:t>
            </w:r>
          </w:p>
          <w:p w14:paraId="7C8E2429" w14:textId="77777777"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Cs/>
                <w:sz w:val="18"/>
                <w:szCs w:val="18"/>
              </w:rPr>
              <w:t xml:space="preserve">3. Paskolų gavėjų, kurių po Paskolos suteikimo įsipareigojimai PGP2 priemonės valdytojui didėja, Paskolų sumos koncentracija Portfelyje negali būti mažesnė kaip 20 proc. nuo Sutartyje  nustatyto Sutarto Portfelio dydžio sumos (įsipareigojimų padidėjimas skaičiuojamas kaip skirtumas tarp jau suteikto finansavimo ir padidintos Paskolos sumos Paskolos gavėjui arba Paskolos gavėjui naujai suteikiama Paskolos suma). </w:t>
            </w:r>
          </w:p>
          <w:p w14:paraId="0AAB98C6" w14:textId="740E20D1" w:rsidR="002405A3" w:rsidRPr="00074FF7" w:rsidRDefault="002405A3" w:rsidP="00074FF7">
            <w:pPr>
              <w:jc w:val="both"/>
              <w:rPr>
                <w:rFonts w:ascii="Times New Roman" w:hAnsi="Times New Roman" w:cs="Times New Roman"/>
                <w:bCs/>
                <w:sz w:val="18"/>
                <w:szCs w:val="18"/>
              </w:rPr>
            </w:pPr>
            <w:r w:rsidRPr="00074FF7">
              <w:rPr>
                <w:rFonts w:ascii="Times New Roman" w:hAnsi="Times New Roman" w:cs="Times New Roman"/>
                <w:bCs/>
                <w:sz w:val="18"/>
                <w:szCs w:val="18"/>
              </w:rPr>
              <w:t>Atitikimas šiam Portfelio tinkamumo reikalavimui bus tikrinamas pasibaigus Tinkamumo laikotarpiui, gavus iš PGP2 priemonės valdytojo ketvirčio ataskaitą. Tuo atveju, jei PGP2 priemonės valdytojas nevykdys šio reikalavimo, iš Portfelio turės būti išimtos Paskolos tokiai sumai, kad būtų išlaikytas į Portfelį įtrauktų Paskolų santykis (20 proc. naujai suteikta Paskolų suma (įskaitant ir įsipareigojimų padidėjimą pagal jau suteiktas ir į Portfelį įtrauktas Paskolas) ir 80 proc. jau suteiktų ir įtrauktų į Portfelį suma)</w:t>
            </w:r>
          </w:p>
        </w:tc>
        <w:tc>
          <w:tcPr>
            <w:tcW w:w="4252" w:type="dxa"/>
          </w:tcPr>
          <w:p w14:paraId="247DF202" w14:textId="0E88B9D2" w:rsidR="002405A3" w:rsidRPr="00075309" w:rsidRDefault="002405A3" w:rsidP="00075309">
            <w:pPr>
              <w:jc w:val="both"/>
              <w:rPr>
                <w:rFonts w:ascii="Times New Roman" w:hAnsi="Times New Roman" w:cs="Times New Roman"/>
                <w:b/>
                <w:bCs/>
                <w:sz w:val="18"/>
                <w:szCs w:val="18"/>
                <w:u w:val="single"/>
              </w:rPr>
            </w:pPr>
            <w:r w:rsidRPr="00075309">
              <w:rPr>
                <w:rFonts w:ascii="Times New Roman" w:hAnsi="Times New Roman" w:cs="Times New Roman"/>
                <w:sz w:val="18"/>
                <w:szCs w:val="18"/>
              </w:rPr>
              <w:t xml:space="preserve">Dėl 3 punkto: Paskolų sumos koncentracija Portfelyje negali būti mažesnė kaip 20 proc. nuo Sutartyje  nustatyto Sutarto Portfelio dydžio sumos. </w:t>
            </w:r>
            <w:r w:rsidRPr="00075309">
              <w:rPr>
                <w:rFonts w:ascii="Times New Roman" w:hAnsi="Times New Roman" w:cs="Times New Roman"/>
                <w:b/>
                <w:bCs/>
                <w:sz w:val="18"/>
                <w:szCs w:val="18"/>
                <w:u w:val="single"/>
              </w:rPr>
              <w:t>Gal ne didesnė nei 20 proc.?</w:t>
            </w:r>
          </w:p>
          <w:p w14:paraId="7410A830" w14:textId="03D1AE22" w:rsidR="002405A3" w:rsidRPr="00C338B1" w:rsidRDefault="002405A3" w:rsidP="00364FD2">
            <w:pPr>
              <w:pStyle w:val="ListParagraph"/>
              <w:rPr>
                <w:rFonts w:ascii="Times New Roman" w:hAnsi="Times New Roman" w:cs="Times New Roman"/>
                <w:sz w:val="18"/>
                <w:szCs w:val="18"/>
              </w:rPr>
            </w:pPr>
          </w:p>
        </w:tc>
        <w:tc>
          <w:tcPr>
            <w:tcW w:w="2694" w:type="dxa"/>
            <w:vMerge w:val="restart"/>
          </w:tcPr>
          <w:p w14:paraId="044D8448" w14:textId="2E4D5D18"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Paliekamas reikalavimas </w:t>
            </w:r>
            <w:r w:rsidRPr="00061B5A">
              <w:rPr>
                <w:rFonts w:ascii="Bookman Old Style" w:eastAsia="Times New Roman" w:hAnsi="Bookman Old Style"/>
                <w:lang w:eastAsia="lt-LT"/>
              </w:rPr>
              <w:t xml:space="preserve"> </w:t>
            </w:r>
            <w:r w:rsidRPr="003F5367">
              <w:rPr>
                <w:rFonts w:ascii="Times New Roman" w:hAnsi="Times New Roman" w:cs="Times New Roman"/>
                <w:sz w:val="18"/>
                <w:szCs w:val="18"/>
              </w:rPr>
              <w:t>portfelio formavimui  t.</w:t>
            </w:r>
            <w:r>
              <w:rPr>
                <w:rFonts w:ascii="Times New Roman" w:hAnsi="Times New Roman" w:cs="Times New Roman"/>
                <w:sz w:val="18"/>
                <w:szCs w:val="18"/>
              </w:rPr>
              <w:t xml:space="preserve"> </w:t>
            </w:r>
            <w:r w:rsidRPr="003F5367">
              <w:rPr>
                <w:rFonts w:ascii="Times New Roman" w:hAnsi="Times New Roman" w:cs="Times New Roman"/>
                <w:sz w:val="18"/>
                <w:szCs w:val="18"/>
              </w:rPr>
              <w:t>y. formuojant  portfelį  įtraukti 20 proc. naujo skolinimo</w:t>
            </w:r>
          </w:p>
          <w:p w14:paraId="3E11257C" w14:textId="68F93736"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Priemonė orientuota į įmonių likvidumo palaikymą, todėl į portfelį gali būti traukiamos naujai suteikiamos apyvartinės paskolos (ne investicinės)</w:t>
            </w:r>
          </w:p>
        </w:tc>
      </w:tr>
      <w:tr w:rsidR="002405A3" w:rsidRPr="00BC5F1C" w14:paraId="0C348373" w14:textId="77777777" w:rsidTr="00297A9C">
        <w:tc>
          <w:tcPr>
            <w:tcW w:w="1271" w:type="dxa"/>
            <w:vMerge/>
          </w:tcPr>
          <w:p w14:paraId="77D42C8E" w14:textId="77777777" w:rsidR="002405A3" w:rsidRDefault="002405A3" w:rsidP="007F1AA0">
            <w:pPr>
              <w:jc w:val="center"/>
              <w:rPr>
                <w:rFonts w:ascii="Times New Roman" w:hAnsi="Times New Roman" w:cs="Times New Roman"/>
                <w:sz w:val="18"/>
                <w:szCs w:val="18"/>
              </w:rPr>
            </w:pPr>
          </w:p>
        </w:tc>
        <w:tc>
          <w:tcPr>
            <w:tcW w:w="4110" w:type="dxa"/>
            <w:vMerge/>
          </w:tcPr>
          <w:p w14:paraId="21BE448A" w14:textId="77777777" w:rsidR="002405A3" w:rsidRPr="00074FF7" w:rsidRDefault="002405A3" w:rsidP="006F6AE5">
            <w:pPr>
              <w:jc w:val="both"/>
              <w:rPr>
                <w:rFonts w:ascii="Times New Roman" w:hAnsi="Times New Roman" w:cs="Times New Roman"/>
                <w:b/>
                <w:sz w:val="18"/>
                <w:szCs w:val="18"/>
              </w:rPr>
            </w:pPr>
          </w:p>
        </w:tc>
        <w:tc>
          <w:tcPr>
            <w:tcW w:w="4252" w:type="dxa"/>
          </w:tcPr>
          <w:p w14:paraId="1EBA0188" w14:textId="77777777" w:rsidR="002405A3" w:rsidRPr="00C85DA3"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Dėl 20 proc. naujų Paskolų koncentracijos. Pagal sąlygas šis rodiklis tikrinamas kas 2 mėn. Manome, kad trumpuoju periodu nebus galima užtikrinti šio rodiklio tinkamą vykdymą, todėl siūlome:</w:t>
            </w:r>
          </w:p>
          <w:p w14:paraId="60D98669" w14:textId="77777777" w:rsidR="002405A3" w:rsidRPr="00C85DA3"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a. Rodiklį fiksuoti priemonės naudojimo pabaigoje;</w:t>
            </w:r>
          </w:p>
          <w:p w14:paraId="14065957" w14:textId="77777777" w:rsidR="002405A3" w:rsidRPr="00C85DA3"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arba</w:t>
            </w:r>
          </w:p>
          <w:p w14:paraId="529E275C" w14:textId="77777777" w:rsidR="002405A3" w:rsidRPr="00C85DA3"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b</w:t>
            </w:r>
            <w:r w:rsidRPr="00AD3CD5">
              <w:rPr>
                <w:rFonts w:ascii="Times New Roman" w:hAnsi="Times New Roman" w:cs="Times New Roman"/>
                <w:bCs/>
                <w:sz w:val="18"/>
                <w:szCs w:val="18"/>
              </w:rPr>
              <w:t>. Leisti įtraukti naujas investicines Paskolas;</w:t>
            </w:r>
          </w:p>
          <w:p w14:paraId="1858DC93" w14:textId="77777777" w:rsidR="002405A3" w:rsidRPr="00C85DA3"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arba</w:t>
            </w:r>
          </w:p>
          <w:p w14:paraId="1B582CD7" w14:textId="2412B950" w:rsidR="002405A3" w:rsidRPr="00075309" w:rsidRDefault="002405A3" w:rsidP="00C85DA3">
            <w:pPr>
              <w:pStyle w:val="CommentText"/>
              <w:rPr>
                <w:rFonts w:ascii="Times New Roman" w:hAnsi="Times New Roman" w:cs="Times New Roman"/>
                <w:bCs/>
                <w:sz w:val="18"/>
                <w:szCs w:val="18"/>
              </w:rPr>
            </w:pPr>
            <w:r w:rsidRPr="00C85DA3">
              <w:rPr>
                <w:rFonts w:ascii="Times New Roman" w:hAnsi="Times New Roman" w:cs="Times New Roman"/>
                <w:bCs/>
                <w:sz w:val="18"/>
                <w:szCs w:val="18"/>
              </w:rPr>
              <w:t>c. Jei nėra vykdomas šis koncentracijos rodiklis, netaikyti restruktūrizuotų Paskolų išėmimo sankcijos jau įtrauktoms Paskoloms, o leisti suteikti tik naujas paskolas, kol bus pasiektas reikiamas koncentracijos rodiklis – 20 proc. naujų Paskolų.</w:t>
            </w:r>
          </w:p>
        </w:tc>
        <w:tc>
          <w:tcPr>
            <w:tcW w:w="2694" w:type="dxa"/>
            <w:vMerge/>
          </w:tcPr>
          <w:p w14:paraId="20BCEB41" w14:textId="77777777" w:rsidR="002405A3" w:rsidRDefault="002405A3" w:rsidP="00080D5D">
            <w:pPr>
              <w:jc w:val="both"/>
              <w:rPr>
                <w:rFonts w:ascii="Times New Roman" w:hAnsi="Times New Roman" w:cs="Times New Roman"/>
                <w:sz w:val="18"/>
                <w:szCs w:val="18"/>
              </w:rPr>
            </w:pPr>
          </w:p>
        </w:tc>
      </w:tr>
      <w:tr w:rsidR="002405A3" w:rsidRPr="00BC5F1C" w14:paraId="462F1BA2" w14:textId="77777777" w:rsidTr="00297A9C">
        <w:tc>
          <w:tcPr>
            <w:tcW w:w="1271" w:type="dxa"/>
            <w:vMerge/>
          </w:tcPr>
          <w:p w14:paraId="36FBC70F" w14:textId="77777777" w:rsidR="002405A3" w:rsidRDefault="002405A3" w:rsidP="007F1AA0">
            <w:pPr>
              <w:jc w:val="center"/>
              <w:rPr>
                <w:rFonts w:ascii="Times New Roman" w:hAnsi="Times New Roman" w:cs="Times New Roman"/>
                <w:sz w:val="18"/>
                <w:szCs w:val="18"/>
              </w:rPr>
            </w:pPr>
          </w:p>
        </w:tc>
        <w:tc>
          <w:tcPr>
            <w:tcW w:w="4110" w:type="dxa"/>
            <w:vMerge/>
          </w:tcPr>
          <w:p w14:paraId="7410639C" w14:textId="77777777" w:rsidR="002405A3" w:rsidRPr="00074FF7" w:rsidRDefault="002405A3" w:rsidP="006F6AE5">
            <w:pPr>
              <w:jc w:val="both"/>
              <w:rPr>
                <w:rFonts w:ascii="Times New Roman" w:hAnsi="Times New Roman" w:cs="Times New Roman"/>
                <w:b/>
                <w:sz w:val="18"/>
                <w:szCs w:val="18"/>
              </w:rPr>
            </w:pPr>
          </w:p>
        </w:tc>
        <w:tc>
          <w:tcPr>
            <w:tcW w:w="4252" w:type="dxa"/>
          </w:tcPr>
          <w:p w14:paraId="7B08C413" w14:textId="77777777" w:rsidR="002405A3" w:rsidRPr="00075309" w:rsidRDefault="002405A3" w:rsidP="00075309">
            <w:pPr>
              <w:pStyle w:val="CommentText"/>
              <w:rPr>
                <w:rFonts w:ascii="Times New Roman" w:hAnsi="Times New Roman" w:cs="Times New Roman"/>
                <w:bCs/>
                <w:sz w:val="18"/>
                <w:szCs w:val="18"/>
              </w:rPr>
            </w:pPr>
            <w:r w:rsidRPr="00075309">
              <w:rPr>
                <w:rFonts w:ascii="Times New Roman" w:hAnsi="Times New Roman" w:cs="Times New Roman"/>
                <w:bCs/>
                <w:sz w:val="18"/>
                <w:szCs w:val="18"/>
              </w:rPr>
              <w:t xml:space="preserve">Dėl 3 punkto: Kategoriškai nesutinkame, kadangi pvz. Viešbučių verslui, negaunančiam pajamų ir turinčiam kasmėnesines išlaidas, greičiausiai bus naudojama Valstybės parama apyvartinio kapitalo dydžiui palaikyti ar atstatyti. </w:t>
            </w:r>
            <w:proofErr w:type="spellStart"/>
            <w:r w:rsidRPr="00075309">
              <w:rPr>
                <w:rFonts w:ascii="Times New Roman" w:hAnsi="Times New Roman" w:cs="Times New Roman"/>
                <w:bCs/>
                <w:sz w:val="18"/>
                <w:szCs w:val="18"/>
              </w:rPr>
              <w:t>Yellow</w:t>
            </w:r>
            <w:proofErr w:type="spellEnd"/>
            <w:r w:rsidRPr="00075309">
              <w:rPr>
                <w:rFonts w:ascii="Times New Roman" w:hAnsi="Times New Roman" w:cs="Times New Roman"/>
                <w:bCs/>
                <w:sz w:val="18"/>
                <w:szCs w:val="18"/>
              </w:rPr>
              <w:t xml:space="preserve"> grupės klientams labiausiai reikia atidėti įmokas. Todėl maksimalus naujai paskolintų lėšų dydis sunkumus patiriančioms įmonėms negalėtų viršyti 5%. </w:t>
            </w:r>
          </w:p>
          <w:p w14:paraId="1A5717E6" w14:textId="77777777" w:rsidR="002405A3" w:rsidRPr="00075309" w:rsidRDefault="002405A3" w:rsidP="00364FD2">
            <w:pPr>
              <w:pStyle w:val="CommentText"/>
              <w:rPr>
                <w:rFonts w:ascii="Times New Roman" w:hAnsi="Times New Roman" w:cs="Times New Roman"/>
                <w:bCs/>
                <w:sz w:val="18"/>
                <w:szCs w:val="18"/>
              </w:rPr>
            </w:pPr>
          </w:p>
          <w:p w14:paraId="1A3C83EF" w14:textId="77777777" w:rsidR="002405A3" w:rsidRPr="00075309" w:rsidRDefault="002405A3" w:rsidP="00364FD2">
            <w:pPr>
              <w:pStyle w:val="CommentText"/>
              <w:rPr>
                <w:rFonts w:ascii="Times New Roman" w:hAnsi="Times New Roman" w:cs="Times New Roman"/>
                <w:bCs/>
                <w:sz w:val="18"/>
                <w:szCs w:val="18"/>
              </w:rPr>
            </w:pPr>
            <w:r w:rsidRPr="00075309">
              <w:rPr>
                <w:rFonts w:ascii="Times New Roman" w:hAnsi="Times New Roman" w:cs="Times New Roman"/>
                <w:bCs/>
                <w:sz w:val="18"/>
                <w:szCs w:val="18"/>
              </w:rPr>
              <w:t>Kada bus matuojamas naujų paskolų santykis – ar 2020 gruodžio 31 d.? Kaip bus atsižvelgiama į paskolos amortizavimą?</w:t>
            </w:r>
          </w:p>
          <w:p w14:paraId="1E9E3634" w14:textId="77777777" w:rsidR="002405A3" w:rsidRPr="00075309" w:rsidRDefault="002405A3" w:rsidP="00364FD2">
            <w:pPr>
              <w:pStyle w:val="CommentText"/>
              <w:rPr>
                <w:rFonts w:ascii="Times New Roman" w:hAnsi="Times New Roman" w:cs="Times New Roman"/>
                <w:bCs/>
                <w:sz w:val="18"/>
                <w:szCs w:val="18"/>
              </w:rPr>
            </w:pPr>
          </w:p>
          <w:p w14:paraId="36921C38" w14:textId="77777777" w:rsidR="002405A3" w:rsidRPr="00075309" w:rsidRDefault="002405A3" w:rsidP="00364FD2">
            <w:pPr>
              <w:pStyle w:val="CommentText"/>
              <w:rPr>
                <w:rFonts w:ascii="Times New Roman" w:hAnsi="Times New Roman" w:cs="Times New Roman"/>
                <w:bCs/>
                <w:sz w:val="18"/>
                <w:szCs w:val="18"/>
              </w:rPr>
            </w:pPr>
            <w:r w:rsidRPr="00075309">
              <w:rPr>
                <w:rFonts w:ascii="Times New Roman" w:hAnsi="Times New Roman" w:cs="Times New Roman"/>
                <w:bCs/>
                <w:sz w:val="18"/>
                <w:szCs w:val="18"/>
              </w:rPr>
              <w:t xml:space="preserve">Taip pat, kas spręs ar t.t. įmonė bus priskirta </w:t>
            </w:r>
            <w:proofErr w:type="spellStart"/>
            <w:r w:rsidRPr="00075309">
              <w:rPr>
                <w:rFonts w:ascii="Times New Roman" w:hAnsi="Times New Roman" w:cs="Times New Roman"/>
                <w:bCs/>
                <w:sz w:val="18"/>
                <w:szCs w:val="18"/>
              </w:rPr>
              <w:t>Red</w:t>
            </w:r>
            <w:proofErr w:type="spellEnd"/>
            <w:r w:rsidRPr="00075309">
              <w:rPr>
                <w:rFonts w:ascii="Times New Roman" w:hAnsi="Times New Roman" w:cs="Times New Roman"/>
                <w:bCs/>
                <w:sz w:val="18"/>
                <w:szCs w:val="18"/>
              </w:rPr>
              <w:t xml:space="preserve"> ar </w:t>
            </w:r>
            <w:proofErr w:type="spellStart"/>
            <w:r w:rsidRPr="00075309">
              <w:rPr>
                <w:rFonts w:ascii="Times New Roman" w:hAnsi="Times New Roman" w:cs="Times New Roman"/>
                <w:bCs/>
                <w:sz w:val="18"/>
                <w:szCs w:val="18"/>
              </w:rPr>
              <w:t>Yellow</w:t>
            </w:r>
            <w:proofErr w:type="spellEnd"/>
            <w:r w:rsidRPr="00075309">
              <w:rPr>
                <w:rFonts w:ascii="Times New Roman" w:hAnsi="Times New Roman" w:cs="Times New Roman"/>
                <w:bCs/>
                <w:sz w:val="18"/>
                <w:szCs w:val="18"/>
              </w:rPr>
              <w:t xml:space="preserve"> grupei?</w:t>
            </w:r>
          </w:p>
          <w:p w14:paraId="33CA5DB8" w14:textId="77777777" w:rsidR="002405A3" w:rsidRPr="00B62A5A" w:rsidRDefault="002405A3" w:rsidP="00B62A5A">
            <w:pPr>
              <w:jc w:val="both"/>
              <w:rPr>
                <w:rFonts w:ascii="Times New Roman" w:hAnsi="Times New Roman" w:cs="Times New Roman"/>
                <w:bCs/>
                <w:sz w:val="18"/>
                <w:szCs w:val="18"/>
              </w:rPr>
            </w:pPr>
          </w:p>
        </w:tc>
        <w:tc>
          <w:tcPr>
            <w:tcW w:w="2694" w:type="dxa"/>
            <w:vMerge/>
          </w:tcPr>
          <w:p w14:paraId="757A3408" w14:textId="77777777" w:rsidR="002405A3" w:rsidRDefault="002405A3" w:rsidP="00080D5D">
            <w:pPr>
              <w:jc w:val="both"/>
              <w:rPr>
                <w:rFonts w:ascii="Times New Roman" w:hAnsi="Times New Roman" w:cs="Times New Roman"/>
                <w:sz w:val="18"/>
                <w:szCs w:val="18"/>
              </w:rPr>
            </w:pPr>
          </w:p>
        </w:tc>
      </w:tr>
      <w:tr w:rsidR="002405A3" w:rsidRPr="00BC5F1C" w14:paraId="56AB1D76" w14:textId="77777777" w:rsidTr="00297A9C">
        <w:tc>
          <w:tcPr>
            <w:tcW w:w="1271" w:type="dxa"/>
            <w:vMerge/>
          </w:tcPr>
          <w:p w14:paraId="581D032B" w14:textId="77777777" w:rsidR="002405A3" w:rsidRDefault="002405A3" w:rsidP="007F1AA0">
            <w:pPr>
              <w:jc w:val="center"/>
              <w:rPr>
                <w:rFonts w:ascii="Times New Roman" w:hAnsi="Times New Roman" w:cs="Times New Roman"/>
                <w:sz w:val="18"/>
                <w:szCs w:val="18"/>
              </w:rPr>
            </w:pPr>
          </w:p>
        </w:tc>
        <w:tc>
          <w:tcPr>
            <w:tcW w:w="4110" w:type="dxa"/>
            <w:vMerge/>
          </w:tcPr>
          <w:p w14:paraId="6C0F5A71" w14:textId="77777777" w:rsidR="002405A3" w:rsidRPr="00074FF7" w:rsidRDefault="002405A3" w:rsidP="006F6AE5">
            <w:pPr>
              <w:jc w:val="both"/>
              <w:rPr>
                <w:rFonts w:ascii="Times New Roman" w:hAnsi="Times New Roman" w:cs="Times New Roman"/>
                <w:b/>
                <w:sz w:val="18"/>
                <w:szCs w:val="18"/>
              </w:rPr>
            </w:pPr>
          </w:p>
        </w:tc>
        <w:tc>
          <w:tcPr>
            <w:tcW w:w="4252" w:type="dxa"/>
          </w:tcPr>
          <w:p w14:paraId="6449D459" w14:textId="77777777" w:rsidR="002405A3" w:rsidRPr="00B62A5A" w:rsidRDefault="002405A3" w:rsidP="00B62A5A">
            <w:pPr>
              <w:rPr>
                <w:rFonts w:ascii="Times New Roman" w:hAnsi="Times New Roman" w:cs="Times New Roman"/>
                <w:sz w:val="18"/>
                <w:szCs w:val="18"/>
              </w:rPr>
            </w:pPr>
            <w:r w:rsidRPr="00B62A5A">
              <w:rPr>
                <w:rFonts w:ascii="Times New Roman" w:hAnsi="Times New Roman" w:cs="Times New Roman"/>
                <w:sz w:val="18"/>
                <w:szCs w:val="18"/>
              </w:rPr>
              <w:t xml:space="preserve">Dėl sąlygos: „Tuo atveju, jei PGP2 priemonės valdytojas nevykdys šio reikalavimo, iš Portfelio turės būti išimtos Paskolos tokiai sumai, kad būtų išlaikytas į Portfelį įtrauktų Paskolų santykis (20 proc. naujai suteikta Paskolų suma (įskaitant ir įsipareigojimų padidėjimą pagal jau suteiktas ir į Portfelį įtrauktas Paskolas)...“. Siūlome išbraukti šią sąlygą, nes bankas neturėtų būti įpareigotas teikti ir naujas paskolas. </w:t>
            </w:r>
          </w:p>
          <w:p w14:paraId="240D8861" w14:textId="77777777" w:rsidR="002405A3" w:rsidRPr="00B62A5A" w:rsidRDefault="002405A3" w:rsidP="00B62A5A">
            <w:pPr>
              <w:jc w:val="both"/>
              <w:rPr>
                <w:rFonts w:ascii="Times New Roman" w:hAnsi="Times New Roman" w:cs="Times New Roman"/>
                <w:sz w:val="18"/>
                <w:szCs w:val="18"/>
              </w:rPr>
            </w:pPr>
          </w:p>
        </w:tc>
        <w:tc>
          <w:tcPr>
            <w:tcW w:w="2694" w:type="dxa"/>
            <w:vMerge/>
          </w:tcPr>
          <w:p w14:paraId="3635B74C" w14:textId="77777777" w:rsidR="002405A3" w:rsidRDefault="002405A3" w:rsidP="00080D5D">
            <w:pPr>
              <w:jc w:val="both"/>
              <w:rPr>
                <w:rFonts w:ascii="Times New Roman" w:hAnsi="Times New Roman" w:cs="Times New Roman"/>
                <w:sz w:val="18"/>
                <w:szCs w:val="18"/>
              </w:rPr>
            </w:pPr>
          </w:p>
        </w:tc>
      </w:tr>
      <w:tr w:rsidR="002405A3" w:rsidRPr="00BC5F1C" w14:paraId="4A18AED7" w14:textId="77777777" w:rsidTr="00297A9C">
        <w:tc>
          <w:tcPr>
            <w:tcW w:w="1271" w:type="dxa"/>
            <w:vMerge/>
          </w:tcPr>
          <w:p w14:paraId="51DF64C0" w14:textId="77777777" w:rsidR="002405A3" w:rsidRDefault="002405A3" w:rsidP="007F1AA0">
            <w:pPr>
              <w:jc w:val="center"/>
              <w:rPr>
                <w:rFonts w:ascii="Times New Roman" w:hAnsi="Times New Roman" w:cs="Times New Roman"/>
                <w:sz w:val="18"/>
                <w:szCs w:val="18"/>
              </w:rPr>
            </w:pPr>
          </w:p>
        </w:tc>
        <w:tc>
          <w:tcPr>
            <w:tcW w:w="4110" w:type="dxa"/>
            <w:vMerge/>
          </w:tcPr>
          <w:p w14:paraId="02290653" w14:textId="77777777" w:rsidR="002405A3" w:rsidRPr="00074FF7" w:rsidRDefault="002405A3" w:rsidP="006F6AE5">
            <w:pPr>
              <w:jc w:val="both"/>
              <w:rPr>
                <w:rFonts w:ascii="Times New Roman" w:hAnsi="Times New Roman" w:cs="Times New Roman"/>
                <w:b/>
                <w:sz w:val="18"/>
                <w:szCs w:val="18"/>
              </w:rPr>
            </w:pPr>
          </w:p>
        </w:tc>
        <w:tc>
          <w:tcPr>
            <w:tcW w:w="4252" w:type="dxa"/>
          </w:tcPr>
          <w:p w14:paraId="7AE45931" w14:textId="59F66A8E" w:rsidR="002405A3" w:rsidRPr="009A4AD0" w:rsidRDefault="002405A3" w:rsidP="00C85DA3">
            <w:pPr>
              <w:rPr>
                <w:rFonts w:ascii="Times New Roman" w:hAnsi="Times New Roman" w:cs="Times New Roman"/>
                <w:sz w:val="18"/>
                <w:szCs w:val="18"/>
              </w:rPr>
            </w:pPr>
            <w:r w:rsidRPr="00C85DA3">
              <w:rPr>
                <w:rFonts w:ascii="Times New Roman" w:hAnsi="Times New Roman" w:cs="Times New Roman"/>
                <w:sz w:val="18"/>
                <w:szCs w:val="18"/>
              </w:rPr>
              <w:t>Dokumento 4 punkto skiltis „Portfelio tinkamumo sąlygos“ nurodoma, kad „Paskolų gavėjų, kurių po Paskolos suteikimo įsipareigojimai PGP2 priemonės valdytojui didėja, Paskolų sumos koncentracija Portfelyje negali būti mažesnė kaip 20 proc. nuo Sutartyje</w:t>
            </w:r>
            <w:r>
              <w:rPr>
                <w:rFonts w:ascii="Times New Roman" w:hAnsi="Times New Roman" w:cs="Times New Roman"/>
                <w:sz w:val="18"/>
                <w:szCs w:val="18"/>
              </w:rPr>
              <w:t xml:space="preserve">  </w:t>
            </w:r>
            <w:r w:rsidRPr="00C85DA3">
              <w:rPr>
                <w:rFonts w:ascii="Times New Roman" w:hAnsi="Times New Roman" w:cs="Times New Roman"/>
                <w:sz w:val="18"/>
                <w:szCs w:val="18"/>
              </w:rPr>
              <w:t>nustatyto Sutarto Portfelio dydžio sumos (įsipareigojimų padidėjimas skaičiuojamas kaip skirtumas tarp jau suteikto finansavimo ir padidintos Paskolos sumos Paskolos gavėjui arba Paskolos gavėjui naujai suteikiama Paskolos suma).“ Šis punktas sako, kad jei nėra norinčių pasiskolinti, o bankas linkęs turėti užstatą, tai bankas turi padidinti įsipareigojimus esamiems klientams. Šis punktas stipriai sulėtina šią priemonę, nes kol bankas neužsitikrins 20 proc., tol sandoriai į priemonės portfelį nebus traukiami. Siūlome išbraukti šią sąlygą, nes bankas neturėtų būti įpareigotas teikti ir naujas Paskolas.</w:t>
            </w:r>
          </w:p>
        </w:tc>
        <w:tc>
          <w:tcPr>
            <w:tcW w:w="2694" w:type="dxa"/>
            <w:vMerge/>
          </w:tcPr>
          <w:p w14:paraId="253EB21A" w14:textId="77777777" w:rsidR="002405A3" w:rsidRDefault="002405A3" w:rsidP="00080D5D">
            <w:pPr>
              <w:jc w:val="both"/>
              <w:rPr>
                <w:rFonts w:ascii="Times New Roman" w:hAnsi="Times New Roman" w:cs="Times New Roman"/>
                <w:sz w:val="18"/>
                <w:szCs w:val="18"/>
              </w:rPr>
            </w:pPr>
          </w:p>
        </w:tc>
      </w:tr>
      <w:tr w:rsidR="002405A3" w:rsidRPr="00BC5F1C" w14:paraId="629D97C8" w14:textId="77777777" w:rsidTr="00297A9C">
        <w:tc>
          <w:tcPr>
            <w:tcW w:w="1271" w:type="dxa"/>
            <w:vMerge/>
          </w:tcPr>
          <w:p w14:paraId="70726853" w14:textId="77777777" w:rsidR="002405A3" w:rsidRDefault="002405A3" w:rsidP="007F1AA0">
            <w:pPr>
              <w:jc w:val="center"/>
              <w:rPr>
                <w:rFonts w:ascii="Times New Roman" w:hAnsi="Times New Roman" w:cs="Times New Roman"/>
                <w:sz w:val="18"/>
                <w:szCs w:val="18"/>
              </w:rPr>
            </w:pPr>
          </w:p>
        </w:tc>
        <w:tc>
          <w:tcPr>
            <w:tcW w:w="4110" w:type="dxa"/>
            <w:vMerge/>
          </w:tcPr>
          <w:p w14:paraId="7019246C" w14:textId="77777777" w:rsidR="002405A3" w:rsidRPr="00074FF7" w:rsidRDefault="002405A3" w:rsidP="006F6AE5">
            <w:pPr>
              <w:jc w:val="both"/>
              <w:rPr>
                <w:rFonts w:ascii="Times New Roman" w:hAnsi="Times New Roman" w:cs="Times New Roman"/>
                <w:b/>
                <w:sz w:val="18"/>
                <w:szCs w:val="18"/>
              </w:rPr>
            </w:pPr>
          </w:p>
        </w:tc>
        <w:tc>
          <w:tcPr>
            <w:tcW w:w="4252" w:type="dxa"/>
          </w:tcPr>
          <w:p w14:paraId="0F972F36" w14:textId="74C80C81" w:rsidR="002405A3" w:rsidRPr="00B62A5A" w:rsidRDefault="002405A3" w:rsidP="00B62A5A">
            <w:pPr>
              <w:rPr>
                <w:rFonts w:ascii="Times New Roman" w:hAnsi="Times New Roman" w:cs="Times New Roman"/>
                <w:sz w:val="18"/>
                <w:szCs w:val="18"/>
              </w:rPr>
            </w:pPr>
            <w:r w:rsidRPr="009A4AD0">
              <w:rPr>
                <w:rFonts w:ascii="Times New Roman" w:hAnsi="Times New Roman" w:cs="Times New Roman"/>
                <w:sz w:val="18"/>
                <w:szCs w:val="18"/>
              </w:rPr>
              <w:t>Dokumento 4 punkto skiltis „Portfelio tinkamumo sąlygos“ nurodoma, kad „Viename ūkio sektoriuje pagrindinę veiklą vykdantiems SVV subjektams, t. y. iš šių veiklų uždirbantiems daugiau nei 50 proc. pajamų per 2019 metus, suteiktų Paskolų koncentracija Portfelyje negali viršyti 50 proc. Sutartyje numatyto Sutarto Portfelio dydžio sumos (pagal Ekonominės veiklos rūšių klasifikatorių (EVRK 2 redakcija) skyriaus lygmeniu)“. Remiantis 2009 metų patirtimi - šis punktas perteklinis ir sukuria, tik administracinę naštą. Be to, EVRK 2 yra netolygus, mažmeninė ir didmeninė prekyba yra tik vienas sektorius, nesvarbu kuo prekiaujama, o gamybos sektoriai labai smulkūs. Todėl šio reikalavimo gali būti itin sunku laikytis.</w:t>
            </w:r>
          </w:p>
        </w:tc>
        <w:tc>
          <w:tcPr>
            <w:tcW w:w="2694" w:type="dxa"/>
          </w:tcPr>
          <w:p w14:paraId="35FAD45A" w14:textId="3BC7F61F"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Ši priemonės sąlyga nekeičiama</w:t>
            </w:r>
          </w:p>
        </w:tc>
      </w:tr>
      <w:tr w:rsidR="002405A3" w:rsidRPr="00BC5F1C" w14:paraId="15B5D96F" w14:textId="77777777" w:rsidTr="00297A9C">
        <w:tc>
          <w:tcPr>
            <w:tcW w:w="1271" w:type="dxa"/>
            <w:vMerge/>
          </w:tcPr>
          <w:p w14:paraId="2715DE7C" w14:textId="77777777" w:rsidR="002405A3" w:rsidRDefault="002405A3" w:rsidP="007F1AA0">
            <w:pPr>
              <w:jc w:val="center"/>
              <w:rPr>
                <w:rFonts w:ascii="Times New Roman" w:hAnsi="Times New Roman" w:cs="Times New Roman"/>
                <w:sz w:val="18"/>
                <w:szCs w:val="18"/>
              </w:rPr>
            </w:pPr>
          </w:p>
        </w:tc>
        <w:tc>
          <w:tcPr>
            <w:tcW w:w="4110" w:type="dxa"/>
            <w:vMerge/>
          </w:tcPr>
          <w:p w14:paraId="0D051244" w14:textId="77777777" w:rsidR="002405A3" w:rsidRPr="00074FF7" w:rsidRDefault="002405A3" w:rsidP="006F6AE5">
            <w:pPr>
              <w:jc w:val="both"/>
              <w:rPr>
                <w:rFonts w:ascii="Times New Roman" w:hAnsi="Times New Roman" w:cs="Times New Roman"/>
                <w:b/>
                <w:sz w:val="18"/>
                <w:szCs w:val="18"/>
              </w:rPr>
            </w:pPr>
          </w:p>
        </w:tc>
        <w:tc>
          <w:tcPr>
            <w:tcW w:w="4252" w:type="dxa"/>
          </w:tcPr>
          <w:p w14:paraId="169A7EAA" w14:textId="1E12068D" w:rsidR="002405A3" w:rsidRPr="00B62A5A" w:rsidRDefault="002405A3" w:rsidP="00B62A5A">
            <w:pPr>
              <w:jc w:val="both"/>
              <w:rPr>
                <w:rFonts w:ascii="Times New Roman" w:hAnsi="Times New Roman" w:cs="Times New Roman"/>
                <w:sz w:val="18"/>
                <w:szCs w:val="18"/>
              </w:rPr>
            </w:pPr>
            <w:r w:rsidRPr="00B62A5A">
              <w:rPr>
                <w:rFonts w:ascii="Times New Roman" w:hAnsi="Times New Roman" w:cs="Times New Roman"/>
                <w:sz w:val="18"/>
                <w:szCs w:val="18"/>
              </w:rPr>
              <w:t xml:space="preserve">Dėl sąlygos: „Viename ūkio sektoriuje pagrindinę veiklą vykdantiems SVV subjektams, t. y. iš šių veiklų uždirbantiems daugiau nei 50 proc. pajamų per 2019 metus, suteiktų Paskolų koncentracija Portfelyje negali viršyti 50 proc. Sutartyje  numatyto Sutarto Portfelio dydžio sumos (pagal Ekonominės veiklos rūšių klasifikatorių (EVRK 2 redakcija) skyriaus lygmeniu). Ar teisingai suprantame, kad ši sąlyga netaikoma DĮ?  </w:t>
            </w:r>
          </w:p>
        </w:tc>
        <w:tc>
          <w:tcPr>
            <w:tcW w:w="2694" w:type="dxa"/>
          </w:tcPr>
          <w:p w14:paraId="3FFA0FEE" w14:textId="0139E57F"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Palikta techninė klaida, pataisysime. Koncentracijos sektoriuose sąlyga taikoma visiems Paskolų gavėjams</w:t>
            </w:r>
          </w:p>
        </w:tc>
      </w:tr>
      <w:tr w:rsidR="002405A3" w:rsidRPr="00BC5F1C" w14:paraId="02390D46" w14:textId="77777777" w:rsidTr="00297A9C">
        <w:tc>
          <w:tcPr>
            <w:tcW w:w="1271" w:type="dxa"/>
            <w:vMerge w:val="restart"/>
          </w:tcPr>
          <w:p w14:paraId="516DC0FB" w14:textId="42B46315"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9.</w:t>
            </w:r>
          </w:p>
        </w:tc>
        <w:tc>
          <w:tcPr>
            <w:tcW w:w="4110" w:type="dxa"/>
            <w:vMerge w:val="restart"/>
          </w:tcPr>
          <w:p w14:paraId="079D4833" w14:textId="77777777" w:rsidR="002405A3" w:rsidRPr="00DC0801" w:rsidRDefault="002405A3" w:rsidP="006F6AE5">
            <w:pPr>
              <w:jc w:val="both"/>
              <w:rPr>
                <w:rFonts w:ascii="Times New Roman" w:hAnsi="Times New Roman" w:cs="Times New Roman"/>
                <w:b/>
                <w:sz w:val="18"/>
                <w:szCs w:val="18"/>
              </w:rPr>
            </w:pPr>
            <w:r w:rsidRPr="00DC0801">
              <w:rPr>
                <w:rFonts w:ascii="Times New Roman" w:hAnsi="Times New Roman" w:cs="Times New Roman"/>
                <w:b/>
                <w:sz w:val="18"/>
                <w:szCs w:val="18"/>
              </w:rPr>
              <w:t>Paskolų, įtraukiamų į Portfelius, tinkamumo sąlygos</w:t>
            </w:r>
          </w:p>
          <w:p w14:paraId="0A0ACDAE"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1.</w:t>
            </w:r>
            <w:r w:rsidRPr="00DC0801">
              <w:rPr>
                <w:rFonts w:ascii="Times New Roman" w:hAnsi="Times New Roman" w:cs="Times New Roman"/>
                <w:bCs/>
                <w:sz w:val="18"/>
                <w:szCs w:val="18"/>
              </w:rPr>
              <w:tab/>
              <w:t xml:space="preserve">Į Portfelį gali būti traukiamos jau suteiktos negarantuotos investicinės (įskaitant Lizingo sandorius) ir apyvartinės (išskyrus atgręžtinius Lizingo sandorius)  Paskolos, kurių grąžinimo grafikai buvo keičiami po 2020 m. kovo 16 d., su sąlyga, kad Paskolos gavėjui nebuvo bloginamos Paskolos grąžinimo sąlygos, t. y. nebuvo didinama palūkanų norma, sutrumpintas Paskolos grąžinimo terminas. Paskolų įmokų grąžinimo grafikai turi būti prailginti ne trumpesniam kaip 6 mėn. laikotarpiui ir (arba) paskolų įmokų grąžinimai atidėti ne trumpesniam kaip 6 mėn. laikotarpiui. </w:t>
            </w:r>
          </w:p>
          <w:p w14:paraId="5B81557D"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Tokių Paskolų suma, atliekant Paskolos sutarties pakeitimą, gali būti padidinta (į Portfelį įtraukiama Paskolos suma lygi jau suteiktos Paskolos likučio ir jo padidinimo sumai). Tuo atveju, jei į Portfelį įtraukiama jau suteikta kredito linija, į Portfelį traukiama visa pasirašyta (</w:t>
            </w:r>
            <w:proofErr w:type="spellStart"/>
            <w:r w:rsidRPr="00DC0801">
              <w:rPr>
                <w:rFonts w:ascii="Times New Roman" w:hAnsi="Times New Roman" w:cs="Times New Roman"/>
                <w:bCs/>
                <w:sz w:val="18"/>
                <w:szCs w:val="18"/>
              </w:rPr>
              <w:t>sukontraktuota</w:t>
            </w:r>
            <w:proofErr w:type="spellEnd"/>
            <w:r w:rsidRPr="00DC0801">
              <w:rPr>
                <w:rFonts w:ascii="Times New Roman" w:hAnsi="Times New Roman" w:cs="Times New Roman"/>
                <w:bCs/>
                <w:sz w:val="18"/>
                <w:szCs w:val="18"/>
              </w:rPr>
              <w:t xml:space="preserve">) kredito linijos suma. </w:t>
            </w:r>
          </w:p>
          <w:p w14:paraId="0BB98EFB"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Šių Paskolų atveju Paskolos tikslinis panaudojimas bus tikrinamas pateiktus PGP2 priemonės valdytojų ir (ar) Paskolos gavėjo sąskaitų išrašus.</w:t>
            </w:r>
          </w:p>
          <w:p w14:paraId="68AEDC3E"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2.</w:t>
            </w:r>
            <w:r w:rsidRPr="00DC0801">
              <w:rPr>
                <w:rFonts w:ascii="Times New Roman" w:hAnsi="Times New Roman" w:cs="Times New Roman"/>
                <w:bCs/>
                <w:sz w:val="18"/>
                <w:szCs w:val="18"/>
              </w:rPr>
              <w:tab/>
              <w:t xml:space="preserve">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DC0801">
              <w:rPr>
                <w:rFonts w:ascii="Times New Roman" w:hAnsi="Times New Roman" w:cs="Times New Roman"/>
                <w:bCs/>
                <w:sz w:val="18"/>
                <w:szCs w:val="18"/>
              </w:rPr>
              <w:t>refinansavimui</w:t>
            </w:r>
            <w:proofErr w:type="spellEnd"/>
            <w:r w:rsidRPr="00DC0801">
              <w:rPr>
                <w:rFonts w:ascii="Times New Roman" w:hAnsi="Times New Roman" w:cs="Times New Roman"/>
                <w:bCs/>
                <w:sz w:val="18"/>
                <w:szCs w:val="18"/>
              </w:rPr>
              <w:t>. Šių Paskolų atveju Paskolos tikslinis panaudojimas bus tikrinamas pagal pateiktus PGP2 priemonės valdytojų ir (ar) Paskolos gavėjo sąskaitų išrašus.</w:t>
            </w:r>
          </w:p>
          <w:p w14:paraId="1744250C"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3.</w:t>
            </w:r>
            <w:r w:rsidRPr="00DC0801">
              <w:rPr>
                <w:rFonts w:ascii="Times New Roman" w:hAnsi="Times New Roman" w:cs="Times New Roman"/>
                <w:bCs/>
                <w:sz w:val="18"/>
                <w:szCs w:val="18"/>
              </w:rPr>
              <w:tab/>
              <w:t xml:space="preserve">Paskolos sutartis į Portfelį įtraukta per Tinkamumo laikotarpį. </w:t>
            </w:r>
          </w:p>
          <w:p w14:paraId="2C4DEDC4"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4.</w:t>
            </w:r>
            <w:r w:rsidRPr="00DC0801">
              <w:rPr>
                <w:rFonts w:ascii="Times New Roman" w:hAnsi="Times New Roman" w:cs="Times New Roman"/>
                <w:bCs/>
                <w:sz w:val="18"/>
                <w:szCs w:val="18"/>
              </w:rPr>
              <w:tab/>
              <w:t xml:space="preserve"> Paskolų trukmė: Paskolos gali būti teikiamas ne ilgesniam kaip 6 metų (72 mėnesių) laikotarpiui (jei į Portfelį įtraukiama jau suteikta Paskola, jos trukmė skaičiuojama nuo atlikto sutarties pakeitimo, kuriuo ilginamas mokėjimo grafikas ar atidedamas įmokų mokėjimas). Paskolos sutarčių terminai gali būti pratęsiami, tačiau bet kuriuo atveju Paskolos sutarties terminas negali būti ilgesnis nei 72 mėnesiai, terminą skaičiuojant nuo pradinės Paskolos sutarties sudarymo dienos arba atlikto Paskolos sutarties pakeitimo, kuriuo ilginamas mokėjimo grafikas ar atidedamas įmokų mokėjimas. </w:t>
            </w:r>
          </w:p>
          <w:p w14:paraId="44A738B7"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5.</w:t>
            </w:r>
            <w:r w:rsidRPr="00DC0801">
              <w:rPr>
                <w:rFonts w:ascii="Times New Roman" w:hAnsi="Times New Roman" w:cs="Times New Roman"/>
                <w:bCs/>
                <w:sz w:val="18"/>
                <w:szCs w:val="18"/>
              </w:rPr>
              <w:tab/>
              <w:t>Didžiausia Paskolos suma – ne didesnė suma nei nurodyta skiltyje „Didžiausia Paskolos suma vienam Paskolos gavėjui“. Gali būti suteikiamos kelios Paskolos, tačiau bendra jų suma negali būti didesnė nei Didžiausia Paskolos suma. Jau į Portfelį įtrauktos Paskolos suma negali būti didinama;</w:t>
            </w:r>
          </w:p>
          <w:p w14:paraId="5E37AD61" w14:textId="77777777"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6.</w:t>
            </w:r>
            <w:r w:rsidRPr="00DC0801">
              <w:rPr>
                <w:rFonts w:ascii="Times New Roman" w:hAnsi="Times New Roman" w:cs="Times New Roman"/>
                <w:bCs/>
                <w:sz w:val="18"/>
                <w:szCs w:val="18"/>
              </w:rPr>
              <w:tab/>
              <w:t xml:space="preserve"> Paskolos teikiamosios pagal vidines PGP2 priemonės valdytojų procedūras ir standartinę kreditavimo tvarką.</w:t>
            </w:r>
          </w:p>
          <w:p w14:paraId="7A913F43" w14:textId="19034778" w:rsidR="002405A3" w:rsidRPr="00DC0801" w:rsidRDefault="002405A3" w:rsidP="00DC0801">
            <w:pPr>
              <w:jc w:val="both"/>
              <w:rPr>
                <w:rFonts w:ascii="Times New Roman" w:hAnsi="Times New Roman" w:cs="Times New Roman"/>
                <w:bCs/>
                <w:sz w:val="18"/>
                <w:szCs w:val="18"/>
              </w:rPr>
            </w:pPr>
            <w:r w:rsidRPr="00DC0801">
              <w:rPr>
                <w:rFonts w:ascii="Times New Roman" w:hAnsi="Times New Roman" w:cs="Times New Roman"/>
                <w:bCs/>
                <w:sz w:val="18"/>
                <w:szCs w:val="18"/>
              </w:rPr>
              <w:t>Pažeidus Portfelio tinkamumo sąlygas bus stabdomas PGP2 priemonės Tinkamumo laikotarpis ir atšaukiama PGP2 priemonės valdytojui nepanaudota skirta PGP2 priemonės lėšų suma</w:t>
            </w:r>
          </w:p>
        </w:tc>
        <w:tc>
          <w:tcPr>
            <w:tcW w:w="4252" w:type="dxa"/>
          </w:tcPr>
          <w:p w14:paraId="333CFBEF" w14:textId="6AEF24EB" w:rsidR="002405A3" w:rsidRPr="00B62A5A" w:rsidRDefault="002405A3" w:rsidP="00B62A5A">
            <w:pPr>
              <w:jc w:val="both"/>
              <w:rPr>
                <w:rFonts w:ascii="Times New Roman" w:hAnsi="Times New Roman" w:cs="Times New Roman"/>
                <w:sz w:val="18"/>
                <w:szCs w:val="18"/>
              </w:rPr>
            </w:pPr>
            <w:r w:rsidRPr="00B62A5A">
              <w:rPr>
                <w:rFonts w:ascii="Times New Roman" w:hAnsi="Times New Roman" w:cs="Times New Roman"/>
                <w:sz w:val="18"/>
                <w:szCs w:val="18"/>
              </w:rPr>
              <w:t>Dėl  1 punkto „Kada galima laikyti, jog atgręžtinio lizingo sandoris buvo skirtas investicijoms? Galbūt galima apsibrėžti per kiek laiko nuo turto įsigijimo turi būti sudaryta atgręžtinio lizingo sutartis? Kartu reikėtų patikslinti, kas konkrečiai būtų tikrinama valdytojo ir kliento sąskaitos išrašuose (10 psl. 2 punktas) siekiant įsitikinti, ar atgręžtinio lizingo lėšos ne/buvo panaudotos apyvartiniam kapitalui atstatyti/padidinti.“</w:t>
            </w:r>
          </w:p>
          <w:p w14:paraId="3134E4A0" w14:textId="1C00770B" w:rsidR="002405A3" w:rsidRPr="00B62A5A" w:rsidRDefault="002405A3" w:rsidP="00B62A5A">
            <w:pPr>
              <w:ind w:left="360"/>
              <w:jc w:val="both"/>
              <w:rPr>
                <w:rFonts w:ascii="Times New Roman" w:hAnsi="Times New Roman" w:cs="Times New Roman"/>
                <w:sz w:val="18"/>
                <w:szCs w:val="18"/>
              </w:rPr>
            </w:pPr>
          </w:p>
        </w:tc>
        <w:tc>
          <w:tcPr>
            <w:tcW w:w="2694" w:type="dxa"/>
          </w:tcPr>
          <w:p w14:paraId="5533AE8F" w14:textId="3BB3AC0B"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Atgręžtinis Lizingo sandoris visais atvejais pagal priemonės sąlygas yra laikomas apyvartine paskola</w:t>
            </w:r>
          </w:p>
        </w:tc>
      </w:tr>
      <w:tr w:rsidR="002405A3" w:rsidRPr="00BC5F1C" w14:paraId="3684C775" w14:textId="77777777" w:rsidTr="00297A9C">
        <w:tc>
          <w:tcPr>
            <w:tcW w:w="1271" w:type="dxa"/>
            <w:vMerge/>
          </w:tcPr>
          <w:p w14:paraId="02CCC136" w14:textId="77777777" w:rsidR="002405A3" w:rsidRDefault="002405A3" w:rsidP="007F1AA0">
            <w:pPr>
              <w:jc w:val="center"/>
              <w:rPr>
                <w:rFonts w:ascii="Times New Roman" w:hAnsi="Times New Roman" w:cs="Times New Roman"/>
                <w:sz w:val="18"/>
                <w:szCs w:val="18"/>
              </w:rPr>
            </w:pPr>
          </w:p>
        </w:tc>
        <w:tc>
          <w:tcPr>
            <w:tcW w:w="4110" w:type="dxa"/>
            <w:vMerge/>
          </w:tcPr>
          <w:p w14:paraId="041CDB82" w14:textId="77777777" w:rsidR="002405A3" w:rsidRPr="00DC0801" w:rsidRDefault="002405A3" w:rsidP="006F6AE5">
            <w:pPr>
              <w:jc w:val="both"/>
              <w:rPr>
                <w:rFonts w:ascii="Times New Roman" w:hAnsi="Times New Roman" w:cs="Times New Roman"/>
                <w:b/>
                <w:sz w:val="18"/>
                <w:szCs w:val="18"/>
              </w:rPr>
            </w:pPr>
          </w:p>
        </w:tc>
        <w:tc>
          <w:tcPr>
            <w:tcW w:w="4252" w:type="dxa"/>
          </w:tcPr>
          <w:p w14:paraId="621DC81E" w14:textId="397B2594" w:rsidR="002405A3" w:rsidRPr="00B62A5A" w:rsidRDefault="002405A3" w:rsidP="00B62A5A">
            <w:pPr>
              <w:jc w:val="both"/>
              <w:rPr>
                <w:rFonts w:ascii="Times New Roman" w:hAnsi="Times New Roman" w:cs="Times New Roman"/>
                <w:sz w:val="18"/>
                <w:szCs w:val="18"/>
              </w:rPr>
            </w:pPr>
            <w:r w:rsidRPr="009A4AD0">
              <w:rPr>
                <w:rFonts w:ascii="Times New Roman" w:hAnsi="Times New Roman" w:cs="Times New Roman"/>
                <w:sz w:val="18"/>
                <w:szCs w:val="18"/>
              </w:rPr>
              <w:t>Dokumento 4 punkto skiltis „Paskolų, įtraukiamų į Portfelius, tinkamumo sąlygos“ nurodoma, kad „Paskolų įmokų grąžinimo grafikai turi būti prailginti ne trumpesniam kaip 6 mėn. laikotarpiui ir (arba) paskolų įmokų grąžinimai atidėti ne trumpesniam kaip 6 mėn. laikotarpiui.“ Garantija negalėtų pasinaudoti įmonės, kurių paskolos gražinimo terminas trumpesnis nei 6 mėnesiai. Taip pat gali būti situacijos, kai įmonės turi likvidumo problemų tik 3 mėnesius ir visiems būtų naudingiau, jei įmonė restruktūrizuotų paskolą tik pvz. 3 mėnesiams.</w:t>
            </w:r>
          </w:p>
        </w:tc>
        <w:tc>
          <w:tcPr>
            <w:tcW w:w="2694" w:type="dxa"/>
          </w:tcPr>
          <w:p w14:paraId="2B931915" w14:textId="70DEBC5C"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6 mėn. įmokų atidėjimas ar įmokų grąžinimo grafikai turi būti prailginti ne trumpesniam nei 6 mėn. laikotarpiui. Tai esminė sąlyga siekiant pagerinti Paskolų gavėjų turimas paskolų grąžinimo sąlygas</w:t>
            </w:r>
          </w:p>
        </w:tc>
      </w:tr>
      <w:tr w:rsidR="002405A3" w:rsidRPr="00BC5F1C" w14:paraId="1932F5F0" w14:textId="77777777" w:rsidTr="00297A9C">
        <w:tc>
          <w:tcPr>
            <w:tcW w:w="1271" w:type="dxa"/>
            <w:vMerge/>
          </w:tcPr>
          <w:p w14:paraId="22B96533" w14:textId="77777777" w:rsidR="002405A3" w:rsidRDefault="002405A3" w:rsidP="007F1AA0">
            <w:pPr>
              <w:jc w:val="center"/>
              <w:rPr>
                <w:rFonts w:ascii="Times New Roman" w:hAnsi="Times New Roman" w:cs="Times New Roman"/>
                <w:sz w:val="18"/>
                <w:szCs w:val="18"/>
              </w:rPr>
            </w:pPr>
          </w:p>
        </w:tc>
        <w:tc>
          <w:tcPr>
            <w:tcW w:w="4110" w:type="dxa"/>
            <w:vMerge/>
          </w:tcPr>
          <w:p w14:paraId="3D6C1CEF" w14:textId="77777777" w:rsidR="002405A3" w:rsidRPr="00DC0801" w:rsidRDefault="002405A3" w:rsidP="006F6AE5">
            <w:pPr>
              <w:jc w:val="both"/>
              <w:rPr>
                <w:rFonts w:ascii="Times New Roman" w:hAnsi="Times New Roman" w:cs="Times New Roman"/>
                <w:b/>
                <w:sz w:val="18"/>
                <w:szCs w:val="18"/>
              </w:rPr>
            </w:pPr>
          </w:p>
        </w:tc>
        <w:tc>
          <w:tcPr>
            <w:tcW w:w="4252" w:type="dxa"/>
          </w:tcPr>
          <w:p w14:paraId="779EDAA2" w14:textId="345FC62C" w:rsidR="002405A3" w:rsidRPr="00B62A5A" w:rsidRDefault="002405A3" w:rsidP="00B62A5A">
            <w:pPr>
              <w:jc w:val="both"/>
              <w:rPr>
                <w:rFonts w:ascii="Times New Roman" w:hAnsi="Times New Roman" w:cs="Times New Roman"/>
                <w:sz w:val="18"/>
                <w:szCs w:val="18"/>
              </w:rPr>
            </w:pPr>
            <w:r w:rsidRPr="009A4AD0">
              <w:rPr>
                <w:rFonts w:ascii="Times New Roman" w:hAnsi="Times New Roman" w:cs="Times New Roman"/>
                <w:sz w:val="18"/>
                <w:szCs w:val="18"/>
              </w:rPr>
              <w:t xml:space="preserve">Dokumento 4 punkto skiltis „Paskolų, įtraukiamų į Portfelius, tinkamumo sąlygos“ nurodoma, kad „Į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9A4AD0">
              <w:rPr>
                <w:rFonts w:ascii="Times New Roman" w:hAnsi="Times New Roman" w:cs="Times New Roman"/>
                <w:sz w:val="18"/>
                <w:szCs w:val="18"/>
              </w:rPr>
              <w:t>refinansavimui</w:t>
            </w:r>
            <w:proofErr w:type="spellEnd"/>
            <w:r w:rsidRPr="009A4AD0">
              <w:rPr>
                <w:rFonts w:ascii="Times New Roman" w:hAnsi="Times New Roman" w:cs="Times New Roman"/>
                <w:sz w:val="18"/>
                <w:szCs w:val="18"/>
              </w:rPr>
              <w:t xml:space="preserve">. Šių Paskolų atveju Paskolos tikslinis panaudojimas bus tikrinamas pagal pateiktus PGP2 priemonės valdytojų ir (ar) Paskolos gavėjo sąskaitų išrašus.“. </w:t>
            </w:r>
            <w:r w:rsidRPr="003F5367">
              <w:rPr>
                <w:rFonts w:ascii="Times New Roman" w:hAnsi="Times New Roman" w:cs="Times New Roman"/>
                <w:sz w:val="18"/>
                <w:szCs w:val="18"/>
              </w:rPr>
              <w:t>Šio reikalavimo neįmanoma laikytis, nes Paskolą suteikusi finansų institucija negali kontroliuoti kaip įmonė panaudoja lėšas pervedusi į kitą banką. Kadangi finansų</w:t>
            </w:r>
            <w:r w:rsidRPr="009A4AD0">
              <w:rPr>
                <w:rFonts w:ascii="Times New Roman" w:hAnsi="Times New Roman" w:cs="Times New Roman"/>
                <w:sz w:val="18"/>
                <w:szCs w:val="18"/>
              </w:rPr>
              <w:t xml:space="preserve"> institucijos negalės užtikrinti šios prievolės vykdymo, labai tikėtina, kad ši priemonė bus nepriimtina didžiajai daliai finansinių institucijų.</w:t>
            </w:r>
          </w:p>
        </w:tc>
        <w:tc>
          <w:tcPr>
            <w:tcW w:w="2694" w:type="dxa"/>
          </w:tcPr>
          <w:p w14:paraId="24366294" w14:textId="2BED1207"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Finansų tarpininkai turi užtikrinti tinkamą lėšų panaudojimą, jei toks reikalavimas nustatytas</w:t>
            </w:r>
          </w:p>
        </w:tc>
      </w:tr>
      <w:tr w:rsidR="002405A3" w:rsidRPr="00BC5F1C" w14:paraId="7B417864" w14:textId="77777777" w:rsidTr="00297A9C">
        <w:tc>
          <w:tcPr>
            <w:tcW w:w="1271" w:type="dxa"/>
            <w:vMerge/>
          </w:tcPr>
          <w:p w14:paraId="17FB49B2" w14:textId="77777777" w:rsidR="002405A3" w:rsidRDefault="002405A3" w:rsidP="007F1AA0">
            <w:pPr>
              <w:jc w:val="center"/>
              <w:rPr>
                <w:rFonts w:ascii="Times New Roman" w:hAnsi="Times New Roman" w:cs="Times New Roman"/>
                <w:sz w:val="18"/>
                <w:szCs w:val="18"/>
              </w:rPr>
            </w:pPr>
          </w:p>
        </w:tc>
        <w:tc>
          <w:tcPr>
            <w:tcW w:w="4110" w:type="dxa"/>
            <w:vMerge/>
          </w:tcPr>
          <w:p w14:paraId="1E46F04E" w14:textId="77777777" w:rsidR="002405A3" w:rsidRPr="00DC0801" w:rsidRDefault="002405A3" w:rsidP="006F6AE5">
            <w:pPr>
              <w:jc w:val="both"/>
              <w:rPr>
                <w:rFonts w:ascii="Times New Roman" w:hAnsi="Times New Roman" w:cs="Times New Roman"/>
                <w:b/>
                <w:sz w:val="18"/>
                <w:szCs w:val="18"/>
              </w:rPr>
            </w:pPr>
          </w:p>
        </w:tc>
        <w:tc>
          <w:tcPr>
            <w:tcW w:w="4252" w:type="dxa"/>
          </w:tcPr>
          <w:p w14:paraId="52AD0FC7" w14:textId="77777777" w:rsidR="002405A3" w:rsidRPr="00B62A5A" w:rsidRDefault="002405A3" w:rsidP="00B62A5A">
            <w:pPr>
              <w:jc w:val="both"/>
              <w:rPr>
                <w:rFonts w:ascii="Times New Roman" w:hAnsi="Times New Roman" w:cs="Times New Roman"/>
                <w:sz w:val="18"/>
                <w:szCs w:val="18"/>
              </w:rPr>
            </w:pPr>
            <w:r w:rsidRPr="00B62A5A">
              <w:rPr>
                <w:rFonts w:ascii="Times New Roman" w:hAnsi="Times New Roman" w:cs="Times New Roman"/>
                <w:sz w:val="18"/>
                <w:szCs w:val="18"/>
              </w:rPr>
              <w:t xml:space="preserve">Dėl 1 punkto: </w:t>
            </w:r>
            <w:r>
              <w:t xml:space="preserve"> </w:t>
            </w:r>
            <w:r w:rsidRPr="00B62A5A">
              <w:rPr>
                <w:rFonts w:ascii="Times New Roman" w:hAnsi="Times New Roman" w:cs="Times New Roman"/>
                <w:sz w:val="18"/>
                <w:szCs w:val="18"/>
              </w:rPr>
              <w:t>Šiuo metu, ypač mažoms įmonėms, įmokas ir terminus partęsiame 3 mėn. Todėl siūlome atitinkamai keisti tinkamumą sąlygas numatant, jog „Paskolų įmokų grąžinimo grafikai turi būti prailginti ne trumpesniam kaip 3 mėn. laikotarpiui ir (arba) paskolų įmokų grąžinimai atidėti ne trumpesniam kaip 3 mėn. laikotarpiui“.</w:t>
            </w:r>
          </w:p>
          <w:p w14:paraId="227DB47C" w14:textId="77777777" w:rsidR="002405A3" w:rsidRPr="00B62A5A" w:rsidRDefault="002405A3" w:rsidP="00B62A5A">
            <w:pPr>
              <w:ind w:left="360"/>
              <w:jc w:val="both"/>
              <w:rPr>
                <w:rFonts w:ascii="Times New Roman" w:hAnsi="Times New Roman" w:cs="Times New Roman"/>
                <w:sz w:val="18"/>
                <w:szCs w:val="18"/>
              </w:rPr>
            </w:pPr>
          </w:p>
        </w:tc>
        <w:tc>
          <w:tcPr>
            <w:tcW w:w="2694" w:type="dxa"/>
          </w:tcPr>
          <w:p w14:paraId="4B81ABD9" w14:textId="0D8B07E3" w:rsidR="002405A3" w:rsidRDefault="002405A3" w:rsidP="00080D5D">
            <w:pPr>
              <w:jc w:val="both"/>
              <w:rPr>
                <w:rFonts w:ascii="Times New Roman" w:hAnsi="Times New Roman" w:cs="Times New Roman"/>
                <w:sz w:val="18"/>
                <w:szCs w:val="18"/>
              </w:rPr>
            </w:pPr>
            <w:r w:rsidRPr="003E441E">
              <w:rPr>
                <w:rFonts w:ascii="Times New Roman" w:hAnsi="Times New Roman" w:cs="Times New Roman"/>
                <w:sz w:val="18"/>
                <w:szCs w:val="18"/>
              </w:rPr>
              <w:t>6 mėn. įmokų atidėjimas ar įmokų grąžinimo grafikai turi būti prailginti ne trumpesniam nei 6</w:t>
            </w:r>
            <w:r>
              <w:t> </w:t>
            </w:r>
            <w:r w:rsidRPr="003E441E">
              <w:rPr>
                <w:rFonts w:ascii="Times New Roman" w:hAnsi="Times New Roman" w:cs="Times New Roman"/>
                <w:sz w:val="18"/>
                <w:szCs w:val="18"/>
              </w:rPr>
              <w:t>mėn. laikotarpiui. Tai esminė sąlyga siekiant pagerinti Paskolų gavėjų turimas paskolų grąžinimo sąlygas</w:t>
            </w:r>
          </w:p>
        </w:tc>
      </w:tr>
      <w:tr w:rsidR="002405A3" w:rsidRPr="00BC5F1C" w14:paraId="1890F131" w14:textId="77777777" w:rsidTr="00297A9C">
        <w:tc>
          <w:tcPr>
            <w:tcW w:w="1271" w:type="dxa"/>
            <w:vMerge/>
          </w:tcPr>
          <w:p w14:paraId="08E8FF97" w14:textId="77777777" w:rsidR="002405A3" w:rsidRDefault="002405A3" w:rsidP="007F1AA0">
            <w:pPr>
              <w:jc w:val="center"/>
              <w:rPr>
                <w:rFonts w:ascii="Times New Roman" w:hAnsi="Times New Roman" w:cs="Times New Roman"/>
                <w:sz w:val="18"/>
                <w:szCs w:val="18"/>
              </w:rPr>
            </w:pPr>
          </w:p>
        </w:tc>
        <w:tc>
          <w:tcPr>
            <w:tcW w:w="4110" w:type="dxa"/>
            <w:vMerge/>
          </w:tcPr>
          <w:p w14:paraId="6DA20963" w14:textId="77777777" w:rsidR="002405A3" w:rsidRPr="00DC0801" w:rsidRDefault="002405A3" w:rsidP="006F6AE5">
            <w:pPr>
              <w:jc w:val="both"/>
              <w:rPr>
                <w:rFonts w:ascii="Times New Roman" w:hAnsi="Times New Roman" w:cs="Times New Roman"/>
                <w:b/>
                <w:sz w:val="18"/>
                <w:szCs w:val="18"/>
              </w:rPr>
            </w:pPr>
          </w:p>
        </w:tc>
        <w:tc>
          <w:tcPr>
            <w:tcW w:w="4252" w:type="dxa"/>
          </w:tcPr>
          <w:p w14:paraId="51A154D4" w14:textId="77777777" w:rsidR="002405A3" w:rsidRPr="008E1AD2" w:rsidRDefault="002405A3" w:rsidP="00B62A5A">
            <w:pPr>
              <w:jc w:val="both"/>
              <w:rPr>
                <w:rFonts w:ascii="Times New Roman" w:hAnsi="Times New Roman" w:cs="Times New Roman"/>
                <w:b/>
                <w:bCs/>
                <w:sz w:val="18"/>
                <w:szCs w:val="18"/>
                <w:lang w:val="en-US"/>
              </w:rPr>
            </w:pPr>
            <w:r w:rsidRPr="00B62A5A">
              <w:rPr>
                <w:rFonts w:ascii="Times New Roman" w:hAnsi="Times New Roman" w:cs="Times New Roman"/>
                <w:sz w:val="18"/>
                <w:szCs w:val="18"/>
              </w:rPr>
              <w:t xml:space="preserve">"Į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B62A5A">
              <w:rPr>
                <w:rFonts w:ascii="Times New Roman" w:hAnsi="Times New Roman" w:cs="Times New Roman"/>
                <w:sz w:val="18"/>
                <w:szCs w:val="18"/>
              </w:rPr>
              <w:t>refinansavimui</w:t>
            </w:r>
            <w:proofErr w:type="spellEnd"/>
            <w:r w:rsidRPr="00B62A5A">
              <w:rPr>
                <w:rFonts w:ascii="Times New Roman" w:hAnsi="Times New Roman" w:cs="Times New Roman"/>
                <w:sz w:val="18"/>
                <w:szCs w:val="18"/>
              </w:rPr>
              <w:t xml:space="preserve">. Šių Paskolų atveju Paskolos tikslinis panaudojimas bus tikrinamas pagal pateiktus PGP2 priemonės valdytojų ir (ar) Paskolos gavėjo sąskaitų išrašus." </w:t>
            </w:r>
            <w:r w:rsidRPr="00B62A5A">
              <w:rPr>
                <w:rFonts w:ascii="Times New Roman" w:hAnsi="Times New Roman" w:cs="Times New Roman"/>
                <w:b/>
                <w:bCs/>
                <w:sz w:val="18"/>
                <w:szCs w:val="18"/>
              </w:rPr>
              <w:t xml:space="preserve">Šis punktas draudžia paskolų </w:t>
            </w:r>
            <w:proofErr w:type="spellStart"/>
            <w:r w:rsidRPr="00B62A5A">
              <w:rPr>
                <w:rFonts w:ascii="Times New Roman" w:hAnsi="Times New Roman" w:cs="Times New Roman"/>
                <w:b/>
                <w:bCs/>
                <w:sz w:val="18"/>
                <w:szCs w:val="18"/>
              </w:rPr>
              <w:t>refinansavimus</w:t>
            </w:r>
            <w:proofErr w:type="spellEnd"/>
            <w:r w:rsidRPr="00B62A5A">
              <w:rPr>
                <w:rFonts w:ascii="Times New Roman" w:hAnsi="Times New Roman" w:cs="Times New Roman"/>
                <w:b/>
                <w:bCs/>
                <w:sz w:val="18"/>
                <w:szCs w:val="18"/>
              </w:rPr>
              <w:t xml:space="preserve">, tačiau jis nepatikslina ar tai galioja tik to pačio kredituotojo paskoloms (tai sukontroliuoti lengva), ar ir kito kredituotojo paskoloms (to sukontroliuoti </w:t>
            </w:r>
            <w:r w:rsidRPr="003E441E">
              <w:rPr>
                <w:rFonts w:ascii="Times New Roman" w:hAnsi="Times New Roman" w:cs="Times New Roman"/>
                <w:b/>
                <w:bCs/>
                <w:sz w:val="18"/>
                <w:szCs w:val="18"/>
              </w:rPr>
              <w:t>mums beveik neįmanoma, nes klientas gali pats nuspręsti dengti kito kredituotojo paskolas)</w:t>
            </w:r>
          </w:p>
          <w:p w14:paraId="7C4F0A61" w14:textId="77777777" w:rsidR="002405A3" w:rsidRPr="00B62A5A" w:rsidRDefault="002405A3" w:rsidP="00B62A5A">
            <w:pPr>
              <w:jc w:val="both"/>
              <w:rPr>
                <w:rFonts w:ascii="Times New Roman" w:hAnsi="Times New Roman" w:cs="Times New Roman"/>
                <w:sz w:val="18"/>
                <w:szCs w:val="18"/>
              </w:rPr>
            </w:pPr>
          </w:p>
        </w:tc>
        <w:tc>
          <w:tcPr>
            <w:tcW w:w="2694" w:type="dxa"/>
          </w:tcPr>
          <w:p w14:paraId="7F4E2F55" w14:textId="29BA44E4" w:rsidR="002405A3" w:rsidRDefault="002405A3" w:rsidP="00080D5D">
            <w:pPr>
              <w:jc w:val="both"/>
              <w:rPr>
                <w:rFonts w:ascii="Times New Roman" w:hAnsi="Times New Roman" w:cs="Times New Roman"/>
                <w:sz w:val="18"/>
                <w:szCs w:val="18"/>
              </w:rPr>
            </w:pPr>
            <w:r w:rsidRPr="003E441E">
              <w:rPr>
                <w:rFonts w:ascii="Times New Roman" w:hAnsi="Times New Roman" w:cs="Times New Roman"/>
                <w:sz w:val="18"/>
                <w:szCs w:val="18"/>
              </w:rPr>
              <w:t>Finansų tarpininkai turi užtikrinti tinkamą lėšų panaudojimą</w:t>
            </w:r>
            <w:r w:rsidRPr="003D0091">
              <w:rPr>
                <w:rFonts w:ascii="Times New Roman" w:hAnsi="Times New Roman" w:cs="Times New Roman"/>
                <w:sz w:val="18"/>
                <w:szCs w:val="18"/>
              </w:rPr>
              <w:t>, jei toks reikalavimas nustatytas.</w:t>
            </w:r>
          </w:p>
        </w:tc>
      </w:tr>
      <w:tr w:rsidR="002405A3" w:rsidRPr="00BC5F1C" w14:paraId="41A86CFC" w14:textId="77777777" w:rsidTr="00297A9C">
        <w:tc>
          <w:tcPr>
            <w:tcW w:w="1271" w:type="dxa"/>
            <w:vMerge/>
          </w:tcPr>
          <w:p w14:paraId="436B2573" w14:textId="77777777" w:rsidR="002405A3" w:rsidRDefault="002405A3" w:rsidP="007F1AA0">
            <w:pPr>
              <w:jc w:val="center"/>
              <w:rPr>
                <w:rFonts w:ascii="Times New Roman" w:hAnsi="Times New Roman" w:cs="Times New Roman"/>
                <w:sz w:val="18"/>
                <w:szCs w:val="18"/>
              </w:rPr>
            </w:pPr>
          </w:p>
        </w:tc>
        <w:tc>
          <w:tcPr>
            <w:tcW w:w="4110" w:type="dxa"/>
            <w:vMerge/>
          </w:tcPr>
          <w:p w14:paraId="008881D3" w14:textId="77777777" w:rsidR="002405A3" w:rsidRPr="00DC0801" w:rsidRDefault="002405A3" w:rsidP="006F6AE5">
            <w:pPr>
              <w:jc w:val="both"/>
              <w:rPr>
                <w:rFonts w:ascii="Times New Roman" w:hAnsi="Times New Roman" w:cs="Times New Roman"/>
                <w:b/>
                <w:sz w:val="18"/>
                <w:szCs w:val="18"/>
              </w:rPr>
            </w:pPr>
          </w:p>
        </w:tc>
        <w:tc>
          <w:tcPr>
            <w:tcW w:w="4252" w:type="dxa"/>
          </w:tcPr>
          <w:p w14:paraId="0FE9355A" w14:textId="09AC0C36" w:rsidR="002405A3" w:rsidRPr="00B62A5A" w:rsidRDefault="002405A3" w:rsidP="00B62A5A">
            <w:pPr>
              <w:jc w:val="both"/>
              <w:rPr>
                <w:rFonts w:ascii="Times New Roman" w:hAnsi="Times New Roman" w:cs="Times New Roman"/>
                <w:sz w:val="18"/>
                <w:szCs w:val="18"/>
              </w:rPr>
            </w:pPr>
            <w:r w:rsidRPr="00B62A5A">
              <w:rPr>
                <w:rFonts w:ascii="Times New Roman" w:hAnsi="Times New Roman" w:cs="Times New Roman"/>
                <w:sz w:val="18"/>
                <w:szCs w:val="18"/>
              </w:rPr>
              <w:t>Dokumento 2.1 punkte teigiama, kad „Paskolos, įtraukiamos į Portfelį, gali būti teikiamos paskolos, kredito linijos ar lizingo sandorio forma (toliau visi kartu, jei nenurodyta kitaip, – Paskola)“ mūsų vertinimu šis apibendrinimas painus ir neapibrėžia, kas aktualu naujoms paskoloms ir kas restruktūrizuojamoms.</w:t>
            </w:r>
          </w:p>
        </w:tc>
        <w:tc>
          <w:tcPr>
            <w:tcW w:w="2694" w:type="dxa"/>
          </w:tcPr>
          <w:p w14:paraId="00B06BEE" w14:textId="69F1A5DC"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Kokios paskolos gali būti traukiamos į portfelį yra nurodyta </w:t>
            </w:r>
            <w:r w:rsidRPr="00BF07D3">
              <w:rPr>
                <w:rFonts w:ascii="Times New Roman" w:hAnsi="Times New Roman" w:cs="Times New Roman"/>
                <w:sz w:val="18"/>
                <w:szCs w:val="18"/>
              </w:rPr>
              <w:t>Paskolų, įtraukiamų į Portfelius, tinkamumo sąlyg</w:t>
            </w:r>
            <w:r>
              <w:rPr>
                <w:rFonts w:ascii="Times New Roman" w:hAnsi="Times New Roman" w:cs="Times New Roman"/>
                <w:sz w:val="18"/>
                <w:szCs w:val="18"/>
              </w:rPr>
              <w:t>ų skyriuje</w:t>
            </w:r>
          </w:p>
        </w:tc>
      </w:tr>
      <w:tr w:rsidR="002405A3" w:rsidRPr="00BC5F1C" w14:paraId="1E44CF4C" w14:textId="77777777" w:rsidTr="00297A9C">
        <w:tc>
          <w:tcPr>
            <w:tcW w:w="1271" w:type="dxa"/>
            <w:vMerge/>
          </w:tcPr>
          <w:p w14:paraId="768B4EE2" w14:textId="77777777" w:rsidR="002405A3" w:rsidRDefault="002405A3" w:rsidP="007F1AA0">
            <w:pPr>
              <w:jc w:val="center"/>
              <w:rPr>
                <w:rFonts w:ascii="Times New Roman" w:hAnsi="Times New Roman" w:cs="Times New Roman"/>
                <w:sz w:val="18"/>
                <w:szCs w:val="18"/>
              </w:rPr>
            </w:pPr>
          </w:p>
        </w:tc>
        <w:tc>
          <w:tcPr>
            <w:tcW w:w="4110" w:type="dxa"/>
            <w:vMerge/>
          </w:tcPr>
          <w:p w14:paraId="595E326E" w14:textId="77777777" w:rsidR="002405A3" w:rsidRPr="00DC0801" w:rsidRDefault="002405A3" w:rsidP="006F6AE5">
            <w:pPr>
              <w:jc w:val="both"/>
              <w:rPr>
                <w:rFonts w:ascii="Times New Roman" w:hAnsi="Times New Roman" w:cs="Times New Roman"/>
                <w:b/>
                <w:sz w:val="18"/>
                <w:szCs w:val="18"/>
              </w:rPr>
            </w:pPr>
          </w:p>
        </w:tc>
        <w:tc>
          <w:tcPr>
            <w:tcW w:w="4252" w:type="dxa"/>
          </w:tcPr>
          <w:p w14:paraId="0DC18965" w14:textId="6EC6DACB" w:rsidR="002405A3" w:rsidRPr="00B62A5A" w:rsidRDefault="002405A3" w:rsidP="00B62A5A">
            <w:pPr>
              <w:jc w:val="both"/>
              <w:rPr>
                <w:rFonts w:ascii="Times New Roman" w:hAnsi="Times New Roman" w:cs="Times New Roman"/>
                <w:sz w:val="18"/>
                <w:szCs w:val="18"/>
              </w:rPr>
            </w:pPr>
            <w:r w:rsidRPr="00B62A5A">
              <w:rPr>
                <w:rFonts w:ascii="Times New Roman" w:hAnsi="Times New Roman" w:cs="Times New Roman"/>
                <w:sz w:val="18"/>
                <w:szCs w:val="18"/>
              </w:rPr>
              <w:t xml:space="preserve">Dokumento 2.1 punkte </w:t>
            </w:r>
            <w:r w:rsidRPr="003E441E">
              <w:rPr>
                <w:rFonts w:ascii="Times New Roman" w:hAnsi="Times New Roman" w:cs="Times New Roman"/>
                <w:sz w:val="18"/>
                <w:szCs w:val="18"/>
              </w:rPr>
              <w:t>ribojami atgręžtiniai lizingo sandoriai. Šis ribojimas perteklinis ir ženkliai mažina priemonės efektyvumą.</w:t>
            </w:r>
          </w:p>
        </w:tc>
        <w:tc>
          <w:tcPr>
            <w:tcW w:w="2694" w:type="dxa"/>
          </w:tcPr>
          <w:p w14:paraId="54C09C97" w14:textId="7674CA40"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Priemone taip pat siekiama paskatinti naujų paskolų teikimą. Atgręžtiniai lizingo sandoriai galimi finansų tarpininkams teikiant juos kaip naują finansavimą</w:t>
            </w:r>
          </w:p>
        </w:tc>
      </w:tr>
      <w:tr w:rsidR="002405A3" w:rsidRPr="00BC5F1C" w14:paraId="402F63E2" w14:textId="77777777" w:rsidTr="00297A9C">
        <w:tc>
          <w:tcPr>
            <w:tcW w:w="1271" w:type="dxa"/>
            <w:vMerge/>
          </w:tcPr>
          <w:p w14:paraId="5BD828C3" w14:textId="77777777" w:rsidR="002405A3" w:rsidRDefault="002405A3" w:rsidP="007F1AA0">
            <w:pPr>
              <w:jc w:val="center"/>
              <w:rPr>
                <w:rFonts w:ascii="Times New Roman" w:hAnsi="Times New Roman" w:cs="Times New Roman"/>
                <w:sz w:val="18"/>
                <w:szCs w:val="18"/>
              </w:rPr>
            </w:pPr>
          </w:p>
        </w:tc>
        <w:tc>
          <w:tcPr>
            <w:tcW w:w="4110" w:type="dxa"/>
            <w:vMerge/>
          </w:tcPr>
          <w:p w14:paraId="0EA0AADE" w14:textId="77777777" w:rsidR="002405A3" w:rsidRPr="00C338B1" w:rsidRDefault="002405A3" w:rsidP="006F6AE5">
            <w:pPr>
              <w:jc w:val="both"/>
              <w:rPr>
                <w:rFonts w:ascii="Times New Roman" w:hAnsi="Times New Roman" w:cs="Times New Roman"/>
                <w:b/>
                <w:sz w:val="18"/>
                <w:szCs w:val="18"/>
              </w:rPr>
            </w:pPr>
          </w:p>
        </w:tc>
        <w:tc>
          <w:tcPr>
            <w:tcW w:w="4252" w:type="dxa"/>
          </w:tcPr>
          <w:p w14:paraId="78325E7C" w14:textId="77777777" w:rsidR="002405A3" w:rsidRPr="00C85DA3" w:rsidRDefault="002405A3" w:rsidP="00C85DA3">
            <w:pPr>
              <w:jc w:val="both"/>
              <w:rPr>
                <w:rFonts w:ascii="Times New Roman" w:hAnsi="Times New Roman" w:cs="Times New Roman"/>
                <w:sz w:val="18"/>
                <w:szCs w:val="18"/>
              </w:rPr>
            </w:pPr>
            <w:r w:rsidRPr="00C85DA3">
              <w:rPr>
                <w:rFonts w:ascii="Times New Roman" w:hAnsi="Times New Roman" w:cs="Times New Roman"/>
                <w:sz w:val="18"/>
                <w:szCs w:val="18"/>
              </w:rPr>
              <w:t>Paskolų gavėjai, kurie 2019 m. gruodžio 31 d. nebuvo laikomi sunkumų patiriančiais (kaip apibrėžta Bendrajame bendrosios išimties reglamente), ir</w:t>
            </w:r>
          </w:p>
          <w:p w14:paraId="3F5FA7C5" w14:textId="77777777" w:rsidR="002405A3" w:rsidRPr="00C85DA3" w:rsidRDefault="002405A3" w:rsidP="00C85DA3">
            <w:pPr>
              <w:jc w:val="both"/>
              <w:rPr>
                <w:rFonts w:ascii="Times New Roman" w:hAnsi="Times New Roman" w:cs="Times New Roman"/>
                <w:sz w:val="18"/>
                <w:szCs w:val="18"/>
              </w:rPr>
            </w:pPr>
            <w:r w:rsidRPr="00C85DA3">
              <w:rPr>
                <w:rFonts w:ascii="Times New Roman" w:hAnsi="Times New Roman" w:cs="Times New Roman"/>
                <w:sz w:val="18"/>
                <w:szCs w:val="18"/>
              </w:rPr>
              <w:t>b. Paskolų gavėjai, kurie 2020 m. dėl COVID-19 protrūkio patyrė sunkumų. Laikoma, kad Paskolos gavėjas patyrė sunkumų, jei jo apyvarta sumažėjo ne mažiau kaip 40 proc.</w:t>
            </w:r>
          </w:p>
          <w:p w14:paraId="44C7BAF3" w14:textId="53B3F99F" w:rsidR="002405A3" w:rsidRPr="00B62A5A" w:rsidRDefault="002405A3" w:rsidP="00C85DA3">
            <w:pPr>
              <w:jc w:val="both"/>
              <w:rPr>
                <w:rFonts w:ascii="Times New Roman" w:hAnsi="Times New Roman" w:cs="Times New Roman"/>
                <w:sz w:val="18"/>
                <w:szCs w:val="18"/>
              </w:rPr>
            </w:pPr>
            <w:r w:rsidRPr="00C85DA3">
              <w:rPr>
                <w:rFonts w:ascii="Times New Roman" w:hAnsi="Times New Roman" w:cs="Times New Roman"/>
                <w:sz w:val="18"/>
                <w:szCs w:val="18"/>
              </w:rPr>
              <w:t>Siūlome b) dalies punkto netaikyti naujai suteikiamoms Paskoloms, o tik įtraukiamoms senoms/ restruktūrizuojamoms.</w:t>
            </w:r>
          </w:p>
        </w:tc>
        <w:tc>
          <w:tcPr>
            <w:tcW w:w="2694" w:type="dxa"/>
          </w:tcPr>
          <w:p w14:paraId="3D5BCDE0" w14:textId="3D49CC32"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Šis reikalavimas turi būti taikomas visoms į portfelį įtraukiamoms paskoloms. Šis reikalavimas yra nustatytas </w:t>
            </w:r>
            <w:r>
              <w:t xml:space="preserve"> </w:t>
            </w:r>
            <w:r w:rsidRPr="003E441E">
              <w:rPr>
                <w:rFonts w:ascii="Times New Roman" w:hAnsi="Times New Roman" w:cs="Times New Roman"/>
                <w:sz w:val="18"/>
                <w:szCs w:val="18"/>
              </w:rPr>
              <w:t>2020 m. kovo 19 d. Europos Komisijos komunikat</w:t>
            </w:r>
            <w:r>
              <w:rPr>
                <w:rFonts w:ascii="Times New Roman" w:hAnsi="Times New Roman" w:cs="Times New Roman"/>
                <w:sz w:val="18"/>
                <w:szCs w:val="18"/>
              </w:rPr>
              <w:t>e</w:t>
            </w:r>
            <w:r w:rsidRPr="003E441E">
              <w:rPr>
                <w:rFonts w:ascii="Times New Roman" w:hAnsi="Times New Roman" w:cs="Times New Roman"/>
                <w:sz w:val="18"/>
                <w:szCs w:val="18"/>
              </w:rPr>
              <w:t xml:space="preserve"> dėl Laikinosios valstybės pagalbos priemonių, skirtų ekonomikai remti reaguojant į dabartinį COVID-19 protrūkį, sistemos</w:t>
            </w:r>
          </w:p>
        </w:tc>
      </w:tr>
      <w:tr w:rsidR="002405A3" w:rsidRPr="00BC5F1C" w14:paraId="38B40ABD" w14:textId="77777777" w:rsidTr="00297A9C">
        <w:tc>
          <w:tcPr>
            <w:tcW w:w="1271" w:type="dxa"/>
            <w:vMerge/>
          </w:tcPr>
          <w:p w14:paraId="34E2A55D" w14:textId="77777777" w:rsidR="002405A3" w:rsidRDefault="002405A3" w:rsidP="007F1AA0">
            <w:pPr>
              <w:jc w:val="center"/>
              <w:rPr>
                <w:rFonts w:ascii="Times New Roman" w:hAnsi="Times New Roman" w:cs="Times New Roman"/>
                <w:sz w:val="18"/>
                <w:szCs w:val="18"/>
              </w:rPr>
            </w:pPr>
          </w:p>
        </w:tc>
        <w:tc>
          <w:tcPr>
            <w:tcW w:w="4110" w:type="dxa"/>
            <w:vMerge/>
          </w:tcPr>
          <w:p w14:paraId="75EEA80A" w14:textId="77777777" w:rsidR="002405A3" w:rsidRPr="00C338B1" w:rsidRDefault="002405A3" w:rsidP="006F6AE5">
            <w:pPr>
              <w:jc w:val="both"/>
              <w:rPr>
                <w:rFonts w:ascii="Times New Roman" w:hAnsi="Times New Roman" w:cs="Times New Roman"/>
                <w:b/>
                <w:sz w:val="18"/>
                <w:szCs w:val="18"/>
              </w:rPr>
            </w:pPr>
          </w:p>
        </w:tc>
        <w:tc>
          <w:tcPr>
            <w:tcW w:w="4252" w:type="dxa"/>
          </w:tcPr>
          <w:p w14:paraId="5FB17DDE" w14:textId="75649D26" w:rsidR="002405A3" w:rsidRPr="00C85DA3" w:rsidRDefault="002405A3" w:rsidP="00B62A5A">
            <w:pPr>
              <w:jc w:val="both"/>
              <w:rPr>
                <w:rFonts w:ascii="Times New Roman" w:hAnsi="Times New Roman" w:cs="Times New Roman"/>
                <w:sz w:val="18"/>
                <w:szCs w:val="18"/>
              </w:rPr>
            </w:pPr>
            <w:r w:rsidRPr="0006180B">
              <w:rPr>
                <w:rFonts w:ascii="Times New Roman" w:hAnsi="Times New Roman" w:cs="Times New Roman"/>
                <w:sz w:val="18"/>
                <w:szCs w:val="18"/>
              </w:rPr>
              <w:t>Kokiu tikslu parašyta</w:t>
            </w:r>
            <w:r>
              <w:rPr>
                <w:rFonts w:ascii="Times New Roman" w:hAnsi="Times New Roman" w:cs="Times New Roman"/>
                <w:sz w:val="18"/>
                <w:szCs w:val="18"/>
              </w:rPr>
              <w:t>, kad į portfelį negali būti įtraukti jau suteikti atgręžtinio lizingo sandoriai</w:t>
            </w:r>
            <w:r w:rsidRPr="0006180B">
              <w:rPr>
                <w:rFonts w:ascii="Times New Roman" w:hAnsi="Times New Roman" w:cs="Times New Roman"/>
                <w:sz w:val="18"/>
                <w:szCs w:val="18"/>
              </w:rPr>
              <w:t xml:space="preserve">? </w:t>
            </w:r>
          </w:p>
        </w:tc>
        <w:tc>
          <w:tcPr>
            <w:tcW w:w="2694" w:type="dxa"/>
          </w:tcPr>
          <w:p w14:paraId="37369FC4" w14:textId="45479973"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Priemone siekiama skatinti ir naujo finansavimo teikimą</w:t>
            </w:r>
          </w:p>
        </w:tc>
      </w:tr>
      <w:tr w:rsidR="002405A3" w:rsidRPr="00BC5F1C" w14:paraId="77188CCA" w14:textId="77777777" w:rsidTr="00297A9C">
        <w:tc>
          <w:tcPr>
            <w:tcW w:w="1271" w:type="dxa"/>
            <w:vMerge/>
          </w:tcPr>
          <w:p w14:paraId="1D341B80" w14:textId="77777777" w:rsidR="002405A3" w:rsidRDefault="002405A3" w:rsidP="007F1AA0">
            <w:pPr>
              <w:jc w:val="center"/>
              <w:rPr>
                <w:rFonts w:ascii="Times New Roman" w:hAnsi="Times New Roman" w:cs="Times New Roman"/>
                <w:sz w:val="18"/>
                <w:szCs w:val="18"/>
              </w:rPr>
            </w:pPr>
          </w:p>
        </w:tc>
        <w:tc>
          <w:tcPr>
            <w:tcW w:w="4110" w:type="dxa"/>
            <w:vMerge/>
          </w:tcPr>
          <w:p w14:paraId="730FBBEA" w14:textId="77777777" w:rsidR="002405A3" w:rsidRPr="00C338B1" w:rsidRDefault="002405A3" w:rsidP="006F6AE5">
            <w:pPr>
              <w:jc w:val="both"/>
              <w:rPr>
                <w:rFonts w:ascii="Times New Roman" w:hAnsi="Times New Roman" w:cs="Times New Roman"/>
                <w:b/>
                <w:sz w:val="18"/>
                <w:szCs w:val="18"/>
              </w:rPr>
            </w:pPr>
          </w:p>
        </w:tc>
        <w:tc>
          <w:tcPr>
            <w:tcW w:w="4252" w:type="dxa"/>
          </w:tcPr>
          <w:p w14:paraId="3DA8E59C" w14:textId="5B4EE2AB" w:rsidR="002405A3" w:rsidRPr="00B62A5A" w:rsidRDefault="002405A3" w:rsidP="00B62A5A">
            <w:pPr>
              <w:jc w:val="both"/>
              <w:rPr>
                <w:rFonts w:ascii="Times New Roman" w:hAnsi="Times New Roman" w:cs="Times New Roman"/>
                <w:sz w:val="18"/>
                <w:szCs w:val="18"/>
              </w:rPr>
            </w:pPr>
            <w:r w:rsidRPr="00C85DA3">
              <w:rPr>
                <w:rFonts w:ascii="Times New Roman" w:hAnsi="Times New Roman" w:cs="Times New Roman"/>
                <w:sz w:val="18"/>
                <w:szCs w:val="18"/>
              </w:rPr>
              <w:t>Prašom patikslinti technines sąlygas, aiškiai nurodant, kad į Portfelį bus galima įtraukti paskolų/lizingo sandorius, kuriuos bankas pasirašė su klientu iki sutarties su Invega dėl PGP2 pasirašymo dienos, bet ne anksčiau kaip nuo kovo 16 d.</w:t>
            </w:r>
          </w:p>
        </w:tc>
        <w:tc>
          <w:tcPr>
            <w:tcW w:w="2694" w:type="dxa"/>
          </w:tcPr>
          <w:p w14:paraId="137D7734" w14:textId="66D6A478"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Sąlygos bus patikslintos</w:t>
            </w:r>
          </w:p>
        </w:tc>
      </w:tr>
      <w:tr w:rsidR="002405A3" w:rsidRPr="00BC5F1C" w14:paraId="5FCC7CCC" w14:textId="77777777" w:rsidTr="00297A9C">
        <w:tc>
          <w:tcPr>
            <w:tcW w:w="1271" w:type="dxa"/>
            <w:vMerge/>
          </w:tcPr>
          <w:p w14:paraId="3DD4FC77" w14:textId="77777777" w:rsidR="002405A3" w:rsidRDefault="002405A3" w:rsidP="007F1AA0">
            <w:pPr>
              <w:jc w:val="center"/>
              <w:rPr>
                <w:rFonts w:ascii="Times New Roman" w:hAnsi="Times New Roman" w:cs="Times New Roman"/>
                <w:sz w:val="18"/>
                <w:szCs w:val="18"/>
              </w:rPr>
            </w:pPr>
          </w:p>
        </w:tc>
        <w:tc>
          <w:tcPr>
            <w:tcW w:w="4110" w:type="dxa"/>
            <w:vMerge/>
          </w:tcPr>
          <w:p w14:paraId="2EE62FC2" w14:textId="77777777" w:rsidR="002405A3" w:rsidRPr="00C338B1" w:rsidRDefault="002405A3" w:rsidP="006F6AE5">
            <w:pPr>
              <w:jc w:val="both"/>
              <w:rPr>
                <w:rFonts w:ascii="Times New Roman" w:hAnsi="Times New Roman" w:cs="Times New Roman"/>
                <w:b/>
                <w:sz w:val="18"/>
                <w:szCs w:val="18"/>
              </w:rPr>
            </w:pPr>
          </w:p>
        </w:tc>
        <w:tc>
          <w:tcPr>
            <w:tcW w:w="4252" w:type="dxa"/>
          </w:tcPr>
          <w:p w14:paraId="4FC2E6BD" w14:textId="6C69A307" w:rsidR="002405A3" w:rsidRPr="00B62A5A" w:rsidRDefault="002405A3" w:rsidP="00B62A5A">
            <w:pPr>
              <w:jc w:val="both"/>
              <w:rPr>
                <w:rFonts w:ascii="Times New Roman" w:hAnsi="Times New Roman" w:cs="Times New Roman"/>
                <w:sz w:val="18"/>
                <w:szCs w:val="18"/>
              </w:rPr>
            </w:pPr>
            <w:r w:rsidRPr="00C51D8E">
              <w:rPr>
                <w:rFonts w:ascii="Times New Roman" w:hAnsi="Times New Roman" w:cs="Times New Roman"/>
                <w:sz w:val="18"/>
                <w:szCs w:val="18"/>
              </w:rPr>
              <w:t>Ar galima duoti klientui apyvartinių lėšų kreditą, kad jis padengtų kas mėnesinius operacinius kaštus pagal veiklos nuomos sutartį, kuriuos sudaro nuomos įmokos?</w:t>
            </w:r>
          </w:p>
        </w:tc>
        <w:tc>
          <w:tcPr>
            <w:tcW w:w="2694" w:type="dxa"/>
          </w:tcPr>
          <w:p w14:paraId="031AC285" w14:textId="53708BAD"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Sąlygos bus patikslintos, nurodant,  kad </w:t>
            </w:r>
            <w:r w:rsidRPr="003E441E">
              <w:rPr>
                <w:rFonts w:ascii="Times New Roman" w:hAnsi="Times New Roman" w:cs="Times New Roman"/>
                <w:sz w:val="18"/>
                <w:szCs w:val="18"/>
              </w:rPr>
              <w:t xml:space="preserve">Paskolos lėšų išmokėjimas pagal veiklos nuomos sutartis (įmokų apmokėjimui) nėra laikomas </w:t>
            </w:r>
            <w:proofErr w:type="spellStart"/>
            <w:r w:rsidRPr="003E441E">
              <w:rPr>
                <w:rFonts w:ascii="Times New Roman" w:hAnsi="Times New Roman" w:cs="Times New Roman"/>
                <w:sz w:val="18"/>
                <w:szCs w:val="18"/>
              </w:rPr>
              <w:t>refinansavimu</w:t>
            </w:r>
            <w:proofErr w:type="spellEnd"/>
          </w:p>
        </w:tc>
      </w:tr>
      <w:tr w:rsidR="002405A3" w:rsidRPr="00BC5F1C" w14:paraId="189B959B" w14:textId="77777777" w:rsidTr="00297A9C">
        <w:tc>
          <w:tcPr>
            <w:tcW w:w="1271" w:type="dxa"/>
            <w:vMerge w:val="restart"/>
          </w:tcPr>
          <w:p w14:paraId="0F7382F8" w14:textId="1A739733" w:rsidR="002405A3" w:rsidRDefault="002405A3" w:rsidP="007F1AA0">
            <w:pPr>
              <w:jc w:val="center"/>
              <w:rPr>
                <w:rFonts w:ascii="Times New Roman" w:hAnsi="Times New Roman" w:cs="Times New Roman"/>
                <w:sz w:val="18"/>
                <w:szCs w:val="18"/>
              </w:rPr>
            </w:pPr>
            <w:r>
              <w:rPr>
                <w:rFonts w:ascii="Times New Roman" w:hAnsi="Times New Roman" w:cs="Times New Roman"/>
                <w:sz w:val="18"/>
                <w:szCs w:val="18"/>
              </w:rPr>
              <w:t>10.</w:t>
            </w:r>
          </w:p>
        </w:tc>
        <w:tc>
          <w:tcPr>
            <w:tcW w:w="4110" w:type="dxa"/>
            <w:vMerge w:val="restart"/>
          </w:tcPr>
          <w:p w14:paraId="1616E97C" w14:textId="77777777" w:rsidR="002405A3" w:rsidRPr="00C338B1" w:rsidRDefault="002405A3" w:rsidP="006F6AE5">
            <w:pPr>
              <w:jc w:val="both"/>
              <w:rPr>
                <w:rFonts w:ascii="Times New Roman" w:hAnsi="Times New Roman" w:cs="Times New Roman"/>
                <w:b/>
                <w:sz w:val="18"/>
                <w:szCs w:val="18"/>
              </w:rPr>
            </w:pPr>
            <w:r w:rsidRPr="00C338B1">
              <w:rPr>
                <w:rFonts w:ascii="Times New Roman" w:hAnsi="Times New Roman" w:cs="Times New Roman"/>
                <w:b/>
                <w:sz w:val="18"/>
                <w:szCs w:val="18"/>
              </w:rPr>
              <w:t>Didžiausia Paskolos suma vienam Paskolos gavėjui</w:t>
            </w:r>
          </w:p>
          <w:p w14:paraId="5E31F483" w14:textId="77777777"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Didžiausia garantuojamos Paskolos suma apskaičiuojama laikantis šių nuostatų:</w:t>
            </w:r>
          </w:p>
          <w:p w14:paraId="3D7E2DAA" w14:textId="77777777"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1.</w:t>
            </w:r>
            <w:r w:rsidRPr="00C338B1">
              <w:rPr>
                <w:rFonts w:ascii="Times New Roman" w:hAnsi="Times New Roman" w:cs="Times New Roman"/>
                <w:bCs/>
                <w:sz w:val="18"/>
                <w:szCs w:val="18"/>
              </w:rPr>
              <w:tab/>
              <w:t>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dvejus jo veiklos metus, arba</w:t>
            </w:r>
          </w:p>
          <w:p w14:paraId="2CAAB810" w14:textId="77777777"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2.</w:t>
            </w:r>
            <w:r w:rsidRPr="00C338B1">
              <w:rPr>
                <w:rFonts w:ascii="Times New Roman" w:hAnsi="Times New Roman" w:cs="Times New Roman"/>
                <w:bCs/>
                <w:sz w:val="18"/>
                <w:szCs w:val="18"/>
              </w:rPr>
              <w:tab/>
              <w:t xml:space="preserve">Paskolos suma turi neviršyti 25 procentų Paskolos gavėjo 2019 m. metinės apyvartos, arba </w:t>
            </w:r>
          </w:p>
          <w:p w14:paraId="2C640778" w14:textId="77777777"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3.</w:t>
            </w:r>
            <w:r w:rsidRPr="00C338B1">
              <w:rPr>
                <w:rFonts w:ascii="Times New Roman" w:hAnsi="Times New Roman" w:cs="Times New Roman"/>
                <w:bCs/>
                <w:sz w:val="18"/>
                <w:szCs w:val="18"/>
              </w:rPr>
              <w:tab/>
              <w:t>Paskolos suma gali būti ir didesnė, nei nustatyta 1 ir 2 punktuose, jei atitinkamą jos dydį Paskolos gavėjas pagrindžia būtinumu baigti planuotas investicijas, įvykdyti sudarytas sutartis, išsaugoti darbo vietas, atsiskaityti su tiekėjais, subrangovais ir (ar) yra poreikis skirti lėšas kitoms veiklai tęsti būtinoms reikmėms nuo Paskolos suteikimo per ateinančius 18 mėnesių SVV subjekto atveju ir 12 mėnesių DĮ atveju.</w:t>
            </w:r>
          </w:p>
          <w:p w14:paraId="147F4F47" w14:textId="77777777"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4.</w:t>
            </w:r>
            <w:r w:rsidRPr="00C338B1">
              <w:rPr>
                <w:rFonts w:ascii="Times New Roman" w:hAnsi="Times New Roman" w:cs="Times New Roman"/>
                <w:bCs/>
                <w:sz w:val="18"/>
                <w:szCs w:val="18"/>
              </w:rPr>
              <w:tab/>
              <w:t xml:space="preserve">Bet kuriuo atveju Paskolos suma negali viršyti 5 proc. Sutarto portfelio </w:t>
            </w:r>
            <w:proofErr w:type="spellStart"/>
            <w:r w:rsidRPr="00C338B1">
              <w:rPr>
                <w:rFonts w:ascii="Times New Roman" w:hAnsi="Times New Roman" w:cs="Times New Roman"/>
                <w:bCs/>
                <w:sz w:val="18"/>
                <w:szCs w:val="18"/>
              </w:rPr>
              <w:t>sumosmln</w:t>
            </w:r>
            <w:proofErr w:type="spellEnd"/>
            <w:r w:rsidRPr="00C338B1">
              <w:rPr>
                <w:rFonts w:ascii="Times New Roman" w:hAnsi="Times New Roman" w:cs="Times New Roman"/>
                <w:bCs/>
                <w:sz w:val="18"/>
                <w:szCs w:val="18"/>
              </w:rPr>
              <w:t>. EUR</w:t>
            </w:r>
          </w:p>
          <w:p w14:paraId="7311119C" w14:textId="77777777" w:rsidR="002405A3" w:rsidRPr="00C338B1" w:rsidRDefault="002405A3" w:rsidP="00C338B1">
            <w:pPr>
              <w:jc w:val="both"/>
              <w:rPr>
                <w:rFonts w:ascii="Times New Roman" w:hAnsi="Times New Roman" w:cs="Times New Roman"/>
                <w:bCs/>
                <w:sz w:val="18"/>
                <w:szCs w:val="18"/>
              </w:rPr>
            </w:pPr>
          </w:p>
          <w:p w14:paraId="5D742F3F" w14:textId="70DD7E10" w:rsidR="002405A3" w:rsidRPr="00C338B1" w:rsidRDefault="002405A3" w:rsidP="00C338B1">
            <w:pPr>
              <w:jc w:val="both"/>
              <w:rPr>
                <w:rFonts w:ascii="Times New Roman" w:hAnsi="Times New Roman" w:cs="Times New Roman"/>
                <w:bCs/>
                <w:sz w:val="18"/>
                <w:szCs w:val="18"/>
              </w:rPr>
            </w:pPr>
            <w:r w:rsidRPr="00C338B1">
              <w:rPr>
                <w:rFonts w:ascii="Times New Roman" w:hAnsi="Times New Roman" w:cs="Times New Roman"/>
                <w:bCs/>
                <w:sz w:val="18"/>
                <w:szCs w:val="18"/>
              </w:rPr>
              <w:t>Jau į portfelį įtrauktos Paskolos suma negali būti didinama</w:t>
            </w:r>
          </w:p>
        </w:tc>
        <w:tc>
          <w:tcPr>
            <w:tcW w:w="4252" w:type="dxa"/>
          </w:tcPr>
          <w:p w14:paraId="61D4CC86" w14:textId="134FBB48" w:rsidR="002405A3" w:rsidRPr="00B01AC5" w:rsidRDefault="002405A3" w:rsidP="00B62A5A">
            <w:pPr>
              <w:jc w:val="both"/>
              <w:rPr>
                <w:rFonts w:ascii="Times New Roman" w:hAnsi="Times New Roman" w:cs="Times New Roman"/>
                <w:sz w:val="18"/>
                <w:szCs w:val="18"/>
              </w:rPr>
            </w:pPr>
            <w:r w:rsidRPr="00B01AC5">
              <w:rPr>
                <w:rFonts w:ascii="Times New Roman" w:hAnsi="Times New Roman" w:cs="Times New Roman"/>
                <w:sz w:val="18"/>
                <w:szCs w:val="18"/>
              </w:rPr>
              <w:t xml:space="preserve">Dėl 1 punkto: Kuo turėtume vadovautis nustatant „Paskolos gavėjo priskaitytą DU su mokesčiais“ – SODROS duomenimis, kliento pateikta išlaidų eilute? </w:t>
            </w:r>
          </w:p>
          <w:p w14:paraId="3BB72951" w14:textId="74D07DB6" w:rsidR="002405A3" w:rsidRPr="00B01AC5" w:rsidRDefault="002405A3" w:rsidP="00C338B1">
            <w:pPr>
              <w:jc w:val="both"/>
              <w:rPr>
                <w:rFonts w:ascii="Times New Roman" w:hAnsi="Times New Roman" w:cs="Times New Roman"/>
                <w:sz w:val="18"/>
                <w:szCs w:val="18"/>
              </w:rPr>
            </w:pPr>
            <w:r w:rsidRPr="00B01AC5">
              <w:rPr>
                <w:rFonts w:ascii="Times New Roman" w:hAnsi="Times New Roman" w:cs="Times New Roman"/>
                <w:sz w:val="18"/>
                <w:szCs w:val="18"/>
              </w:rPr>
              <w:t>NB! Sodroje rodomas paskutinio mėnesio vidutinis darbo užmokestis ir paskutinio mėnesio apdraustųjų skaičius.</w:t>
            </w:r>
          </w:p>
          <w:p w14:paraId="7D73B709" w14:textId="77777777" w:rsidR="002405A3" w:rsidRPr="00B01AC5" w:rsidRDefault="002405A3" w:rsidP="00C338B1">
            <w:pPr>
              <w:jc w:val="both"/>
              <w:rPr>
                <w:rFonts w:ascii="Times New Roman" w:hAnsi="Times New Roman" w:cs="Times New Roman"/>
                <w:sz w:val="18"/>
                <w:szCs w:val="18"/>
              </w:rPr>
            </w:pPr>
          </w:p>
          <w:p w14:paraId="7CB8CCD5" w14:textId="77777777" w:rsidR="002405A3" w:rsidRPr="00B01AC5" w:rsidRDefault="002405A3" w:rsidP="00C338B1">
            <w:pPr>
              <w:jc w:val="both"/>
              <w:rPr>
                <w:rFonts w:ascii="Times New Roman" w:hAnsi="Times New Roman" w:cs="Times New Roman"/>
                <w:sz w:val="18"/>
                <w:szCs w:val="18"/>
              </w:rPr>
            </w:pPr>
          </w:p>
          <w:p w14:paraId="4D4564D8" w14:textId="5897015C" w:rsidR="002405A3" w:rsidRPr="00B01AC5" w:rsidRDefault="002405A3" w:rsidP="00C338B1">
            <w:pPr>
              <w:jc w:val="both"/>
              <w:rPr>
                <w:rFonts w:ascii="Times New Roman" w:hAnsi="Times New Roman" w:cs="Times New Roman"/>
                <w:sz w:val="18"/>
                <w:szCs w:val="18"/>
              </w:rPr>
            </w:pPr>
            <w:r w:rsidRPr="00B01AC5">
              <w:rPr>
                <w:rFonts w:ascii="Times New Roman" w:hAnsi="Times New Roman" w:cs="Times New Roman"/>
                <w:sz w:val="18"/>
                <w:szCs w:val="18"/>
              </w:rPr>
              <w:t>Kaip turėtų būti vertinamos įmonės nuomojančios darbuotojus?</w:t>
            </w:r>
          </w:p>
        </w:tc>
        <w:tc>
          <w:tcPr>
            <w:tcW w:w="2694" w:type="dxa"/>
          </w:tcPr>
          <w:p w14:paraId="5108720D" w14:textId="77777777"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 xml:space="preserve">Turėtumėte vertinti pagal Paskolos gavėjo pateiktas finansines ataskaitas. </w:t>
            </w:r>
          </w:p>
          <w:p w14:paraId="7A3A8DF4" w14:textId="1FAB3DE5" w:rsidR="002405A3" w:rsidRDefault="002405A3" w:rsidP="00080D5D">
            <w:pPr>
              <w:jc w:val="both"/>
              <w:rPr>
                <w:rFonts w:ascii="Times New Roman" w:hAnsi="Times New Roman" w:cs="Times New Roman"/>
                <w:sz w:val="18"/>
                <w:szCs w:val="18"/>
              </w:rPr>
            </w:pPr>
            <w:r>
              <w:rPr>
                <w:rFonts w:ascii="Times New Roman" w:hAnsi="Times New Roman" w:cs="Times New Roman"/>
                <w:sz w:val="18"/>
                <w:szCs w:val="18"/>
              </w:rPr>
              <w:t>Vertinama tik Paskolos gavėjo DU su mokesčiai suma</w:t>
            </w:r>
          </w:p>
        </w:tc>
      </w:tr>
      <w:tr w:rsidR="002405A3" w:rsidRPr="00BC5F1C" w14:paraId="7279C6FE" w14:textId="77777777" w:rsidTr="00297A9C">
        <w:tc>
          <w:tcPr>
            <w:tcW w:w="1271" w:type="dxa"/>
            <w:vMerge/>
          </w:tcPr>
          <w:p w14:paraId="0FD76F59" w14:textId="77777777" w:rsidR="002405A3" w:rsidRDefault="002405A3" w:rsidP="007F1AA0">
            <w:pPr>
              <w:jc w:val="center"/>
              <w:rPr>
                <w:rFonts w:ascii="Times New Roman" w:hAnsi="Times New Roman" w:cs="Times New Roman"/>
                <w:sz w:val="18"/>
                <w:szCs w:val="18"/>
              </w:rPr>
            </w:pPr>
          </w:p>
        </w:tc>
        <w:tc>
          <w:tcPr>
            <w:tcW w:w="4110" w:type="dxa"/>
            <w:vMerge/>
          </w:tcPr>
          <w:p w14:paraId="56D76C8B" w14:textId="77777777" w:rsidR="002405A3" w:rsidRPr="00C338B1" w:rsidRDefault="002405A3" w:rsidP="006F6AE5">
            <w:pPr>
              <w:jc w:val="both"/>
              <w:rPr>
                <w:rFonts w:ascii="Times New Roman" w:hAnsi="Times New Roman" w:cs="Times New Roman"/>
                <w:b/>
                <w:sz w:val="18"/>
                <w:szCs w:val="18"/>
              </w:rPr>
            </w:pPr>
          </w:p>
        </w:tc>
        <w:tc>
          <w:tcPr>
            <w:tcW w:w="4252" w:type="dxa"/>
          </w:tcPr>
          <w:p w14:paraId="216BE7B7" w14:textId="3B4DE9B7" w:rsidR="002405A3" w:rsidRPr="00C338B1" w:rsidRDefault="002405A3" w:rsidP="00C338B1">
            <w:pPr>
              <w:jc w:val="both"/>
              <w:rPr>
                <w:rFonts w:ascii="Times New Roman" w:hAnsi="Times New Roman" w:cs="Times New Roman"/>
                <w:sz w:val="18"/>
                <w:szCs w:val="18"/>
              </w:rPr>
            </w:pPr>
            <w:r w:rsidRPr="009A4AD0">
              <w:rPr>
                <w:rFonts w:ascii="Times New Roman" w:hAnsi="Times New Roman" w:cs="Times New Roman"/>
                <w:sz w:val="18"/>
                <w:szCs w:val="18"/>
              </w:rPr>
              <w:t>Dokumento 4 punkto skiltis „Didžiausia Paskolos suma vienam Paskolos gavėjui“, priimtina naujai išduodamoms Paskoloms, tačiau labai apriboja galimybes pasinaudoti garantija restruktūrizuojamoms Paskoloms.</w:t>
            </w:r>
          </w:p>
        </w:tc>
        <w:tc>
          <w:tcPr>
            <w:tcW w:w="2694" w:type="dxa"/>
          </w:tcPr>
          <w:p w14:paraId="43A51B71" w14:textId="07725010" w:rsidR="002405A3" w:rsidRDefault="002405A3" w:rsidP="00080D5D">
            <w:pPr>
              <w:jc w:val="both"/>
              <w:rPr>
                <w:rFonts w:ascii="Times New Roman" w:hAnsi="Times New Roman" w:cs="Times New Roman"/>
                <w:sz w:val="18"/>
                <w:szCs w:val="18"/>
              </w:rPr>
            </w:pPr>
            <w:r w:rsidRPr="00B01AC5">
              <w:rPr>
                <w:rFonts w:ascii="Times New Roman" w:hAnsi="Times New Roman" w:cs="Times New Roman"/>
                <w:sz w:val="18"/>
                <w:szCs w:val="18"/>
              </w:rPr>
              <w:t xml:space="preserve">Šis reikalavimas yra nustatytas  </w:t>
            </w:r>
            <w:r>
              <w:rPr>
                <w:rFonts w:ascii="Times New Roman" w:hAnsi="Times New Roman" w:cs="Times New Roman"/>
                <w:sz w:val="18"/>
                <w:szCs w:val="18"/>
              </w:rPr>
              <w:t xml:space="preserve">vadovaujantis </w:t>
            </w:r>
            <w:r w:rsidRPr="00B01AC5">
              <w:rPr>
                <w:rFonts w:ascii="Times New Roman" w:hAnsi="Times New Roman" w:cs="Times New Roman"/>
                <w:sz w:val="18"/>
                <w:szCs w:val="18"/>
              </w:rPr>
              <w:t>2020 m. kovo 19 d. Europos Komisijos komunikat</w:t>
            </w:r>
            <w:r>
              <w:rPr>
                <w:rFonts w:ascii="Times New Roman" w:hAnsi="Times New Roman" w:cs="Times New Roman"/>
                <w:sz w:val="18"/>
                <w:szCs w:val="18"/>
              </w:rPr>
              <w:t>u</w:t>
            </w:r>
            <w:r w:rsidRPr="00B01AC5">
              <w:rPr>
                <w:rFonts w:ascii="Times New Roman" w:hAnsi="Times New Roman" w:cs="Times New Roman"/>
                <w:sz w:val="18"/>
                <w:szCs w:val="18"/>
              </w:rPr>
              <w:t xml:space="preserve"> dėl Laikinosios valstybės pagalbos priemonių, skirtų ekonomikai remti reaguojant į dabartinį COVID-19 protrūkį, sistemos</w:t>
            </w:r>
          </w:p>
        </w:tc>
      </w:tr>
      <w:tr w:rsidR="00297A9C" w:rsidRPr="00BC5F1C" w14:paraId="4134DFB8" w14:textId="77777777" w:rsidTr="00297A9C">
        <w:tc>
          <w:tcPr>
            <w:tcW w:w="1271" w:type="dxa"/>
            <w:vMerge/>
          </w:tcPr>
          <w:p w14:paraId="3FB0848E" w14:textId="77777777" w:rsidR="00297A9C" w:rsidRDefault="00297A9C" w:rsidP="007F1AA0">
            <w:pPr>
              <w:jc w:val="center"/>
              <w:rPr>
                <w:rFonts w:ascii="Times New Roman" w:hAnsi="Times New Roman" w:cs="Times New Roman"/>
                <w:sz w:val="18"/>
                <w:szCs w:val="18"/>
              </w:rPr>
            </w:pPr>
          </w:p>
        </w:tc>
        <w:tc>
          <w:tcPr>
            <w:tcW w:w="4110" w:type="dxa"/>
            <w:vMerge/>
          </w:tcPr>
          <w:p w14:paraId="71DA1EB7" w14:textId="77777777" w:rsidR="00297A9C" w:rsidRPr="00C338B1" w:rsidRDefault="00297A9C" w:rsidP="006F6AE5">
            <w:pPr>
              <w:jc w:val="both"/>
              <w:rPr>
                <w:rFonts w:ascii="Times New Roman" w:hAnsi="Times New Roman" w:cs="Times New Roman"/>
                <w:b/>
                <w:sz w:val="18"/>
                <w:szCs w:val="18"/>
              </w:rPr>
            </w:pPr>
          </w:p>
        </w:tc>
        <w:tc>
          <w:tcPr>
            <w:tcW w:w="4252" w:type="dxa"/>
          </w:tcPr>
          <w:p w14:paraId="57D9383B" w14:textId="3562FC6D" w:rsidR="00297A9C" w:rsidRPr="00C338B1" w:rsidRDefault="00297A9C" w:rsidP="00C338B1">
            <w:pPr>
              <w:jc w:val="both"/>
              <w:rPr>
                <w:rFonts w:ascii="Times New Roman" w:hAnsi="Times New Roman" w:cs="Times New Roman"/>
                <w:sz w:val="18"/>
                <w:szCs w:val="18"/>
              </w:rPr>
            </w:pPr>
            <w:r w:rsidRPr="00C85DA3">
              <w:rPr>
                <w:rFonts w:ascii="Times New Roman" w:hAnsi="Times New Roman" w:cs="Times New Roman"/>
                <w:sz w:val="18"/>
                <w:szCs w:val="18"/>
              </w:rPr>
              <w:t>Reikėtų patikslinimo, kaip trakuoti skiltyje “Didžiausia Paskolos suma vienam Paskolos gavėjui” nurodomą maksimalios Paskolos paskaičiavimą, nes tiek 1 ir 2 punktas baigiasi “arba”. Kuris yra svarbiausias “arba”, turi abu tenkinami ar galima imti didžiausią ar mažiausią?</w:t>
            </w:r>
          </w:p>
        </w:tc>
        <w:tc>
          <w:tcPr>
            <w:tcW w:w="2694" w:type="dxa"/>
          </w:tcPr>
          <w:p w14:paraId="434F230C" w14:textId="1C0682F4" w:rsidR="00297A9C" w:rsidRDefault="00297A9C" w:rsidP="00080D5D">
            <w:pPr>
              <w:jc w:val="both"/>
              <w:rPr>
                <w:rFonts w:ascii="Times New Roman" w:hAnsi="Times New Roman" w:cs="Times New Roman"/>
                <w:sz w:val="18"/>
                <w:szCs w:val="18"/>
              </w:rPr>
            </w:pPr>
            <w:r>
              <w:rPr>
                <w:rFonts w:ascii="Times New Roman" w:hAnsi="Times New Roman" w:cs="Times New Roman"/>
                <w:sz w:val="18"/>
                <w:szCs w:val="18"/>
              </w:rPr>
              <w:t>Visi 1-3  punktai yra lygiaverčiai, galite rinktis labiausiai tinkantį variantą</w:t>
            </w:r>
          </w:p>
        </w:tc>
      </w:tr>
      <w:tr w:rsidR="00297A9C" w:rsidRPr="00BC5F1C" w14:paraId="10C5CD35" w14:textId="77777777" w:rsidTr="00297A9C">
        <w:tc>
          <w:tcPr>
            <w:tcW w:w="1271" w:type="dxa"/>
            <w:vMerge/>
          </w:tcPr>
          <w:p w14:paraId="62B5FF73" w14:textId="77777777" w:rsidR="00297A9C" w:rsidRDefault="00297A9C" w:rsidP="007F1AA0">
            <w:pPr>
              <w:jc w:val="center"/>
              <w:rPr>
                <w:rFonts w:ascii="Times New Roman" w:hAnsi="Times New Roman" w:cs="Times New Roman"/>
                <w:sz w:val="18"/>
                <w:szCs w:val="18"/>
              </w:rPr>
            </w:pPr>
          </w:p>
        </w:tc>
        <w:tc>
          <w:tcPr>
            <w:tcW w:w="4110" w:type="dxa"/>
            <w:vMerge/>
          </w:tcPr>
          <w:p w14:paraId="7B15C101" w14:textId="77777777" w:rsidR="00297A9C" w:rsidRPr="00C338B1" w:rsidRDefault="00297A9C" w:rsidP="006F6AE5">
            <w:pPr>
              <w:jc w:val="both"/>
              <w:rPr>
                <w:rFonts w:ascii="Times New Roman" w:hAnsi="Times New Roman" w:cs="Times New Roman"/>
                <w:b/>
                <w:sz w:val="18"/>
                <w:szCs w:val="18"/>
              </w:rPr>
            </w:pPr>
          </w:p>
        </w:tc>
        <w:tc>
          <w:tcPr>
            <w:tcW w:w="4252" w:type="dxa"/>
          </w:tcPr>
          <w:p w14:paraId="0C9A4897" w14:textId="5707704A" w:rsidR="00297A9C" w:rsidRPr="00C338B1" w:rsidRDefault="00297A9C" w:rsidP="00C338B1">
            <w:pPr>
              <w:jc w:val="both"/>
              <w:rPr>
                <w:rFonts w:ascii="Times New Roman" w:hAnsi="Times New Roman" w:cs="Times New Roman"/>
                <w:sz w:val="18"/>
                <w:szCs w:val="18"/>
              </w:rPr>
            </w:pPr>
            <w:r w:rsidRPr="00C85DA3">
              <w:rPr>
                <w:rFonts w:ascii="Times New Roman" w:hAnsi="Times New Roman" w:cs="Times New Roman"/>
                <w:sz w:val="18"/>
                <w:szCs w:val="18"/>
              </w:rPr>
              <w:t>Prašom patikslinti „Didžiausios Paskolos suma vienam Paskolos gavėjui“ 3 punkto reikalavimus, aiškiau apibrėžiant kokiais pagrindžiančiais dokumentais bankas turi įvertinti kliento poreikius (kad būti tikriems, jog bankas tikrai gerai įvertino).</w:t>
            </w:r>
          </w:p>
        </w:tc>
        <w:tc>
          <w:tcPr>
            <w:tcW w:w="2694" w:type="dxa"/>
          </w:tcPr>
          <w:p w14:paraId="15DF7AD6" w14:textId="602DC65E" w:rsidR="00297A9C" w:rsidRDefault="00297A9C" w:rsidP="00080D5D">
            <w:pPr>
              <w:jc w:val="both"/>
              <w:rPr>
                <w:rFonts w:ascii="Times New Roman" w:hAnsi="Times New Roman" w:cs="Times New Roman"/>
                <w:sz w:val="18"/>
                <w:szCs w:val="18"/>
              </w:rPr>
            </w:pPr>
            <w:r>
              <w:rPr>
                <w:rFonts w:ascii="Times New Roman" w:hAnsi="Times New Roman" w:cs="Times New Roman"/>
                <w:sz w:val="18"/>
                <w:szCs w:val="18"/>
              </w:rPr>
              <w:t>Turėtumėte vadovautis Paskolos gavėjo pateikta informacija. Geriausiai pagrįstumas būtų atskleistas sudarant pinigų srautų ataskaitą ir tokiu būdu pagrindžiant poreikį finansavimui</w:t>
            </w:r>
          </w:p>
        </w:tc>
      </w:tr>
      <w:tr w:rsidR="00297A9C" w:rsidRPr="00BC5F1C" w14:paraId="1B4DA9C6" w14:textId="77777777" w:rsidTr="00297A9C">
        <w:tc>
          <w:tcPr>
            <w:tcW w:w="1271" w:type="dxa"/>
            <w:vMerge/>
          </w:tcPr>
          <w:p w14:paraId="6EDFEE66" w14:textId="77777777" w:rsidR="00297A9C" w:rsidRDefault="00297A9C" w:rsidP="007F1AA0">
            <w:pPr>
              <w:jc w:val="center"/>
              <w:rPr>
                <w:rFonts w:ascii="Times New Roman" w:hAnsi="Times New Roman" w:cs="Times New Roman"/>
                <w:sz w:val="18"/>
                <w:szCs w:val="18"/>
              </w:rPr>
            </w:pPr>
          </w:p>
        </w:tc>
        <w:tc>
          <w:tcPr>
            <w:tcW w:w="4110" w:type="dxa"/>
            <w:vMerge/>
          </w:tcPr>
          <w:p w14:paraId="1FC9A14A" w14:textId="77777777" w:rsidR="00297A9C" w:rsidRPr="00C338B1" w:rsidRDefault="00297A9C" w:rsidP="006F6AE5">
            <w:pPr>
              <w:jc w:val="both"/>
              <w:rPr>
                <w:rFonts w:ascii="Times New Roman" w:hAnsi="Times New Roman" w:cs="Times New Roman"/>
                <w:b/>
                <w:sz w:val="18"/>
                <w:szCs w:val="18"/>
              </w:rPr>
            </w:pPr>
          </w:p>
        </w:tc>
        <w:tc>
          <w:tcPr>
            <w:tcW w:w="4252" w:type="dxa"/>
          </w:tcPr>
          <w:p w14:paraId="0D76C4B5" w14:textId="77777777" w:rsidR="00297A9C" w:rsidRPr="007E4159" w:rsidRDefault="00297A9C" w:rsidP="00E74315">
            <w:pPr>
              <w:pStyle w:val="CommentText"/>
              <w:rPr>
                <w:rFonts w:ascii="Times New Roman" w:hAnsi="Times New Roman" w:cs="Times New Roman"/>
                <w:sz w:val="18"/>
                <w:szCs w:val="18"/>
              </w:rPr>
            </w:pPr>
            <w:r w:rsidRPr="007E4159">
              <w:rPr>
                <w:rFonts w:ascii="Times New Roman" w:hAnsi="Times New Roman" w:cs="Times New Roman"/>
                <w:sz w:val="18"/>
                <w:szCs w:val="18"/>
              </w:rPr>
              <w:t xml:space="preserve">jei įtrauksime paskolą, tai konkrečiai jos jau negalėsime padidinti. Kodėl? </w:t>
            </w:r>
            <w:proofErr w:type="spellStart"/>
            <w:r w:rsidRPr="007E4159">
              <w:rPr>
                <w:rFonts w:ascii="Times New Roman" w:hAnsi="Times New Roman" w:cs="Times New Roman"/>
                <w:sz w:val="18"/>
                <w:szCs w:val="18"/>
              </w:rPr>
              <w:t>Pvz</w:t>
            </w:r>
            <w:proofErr w:type="spellEnd"/>
            <w:r w:rsidRPr="007E4159">
              <w:rPr>
                <w:rFonts w:ascii="Times New Roman" w:hAnsi="Times New Roman" w:cs="Times New Roman"/>
                <w:sz w:val="18"/>
                <w:szCs w:val="18"/>
              </w:rPr>
              <w:t xml:space="preserve"> suteikėme likvidumo paskolą, pasirodo per maža, tai kodėl nepadidinti? Kam nauja paskola?</w:t>
            </w:r>
          </w:p>
          <w:p w14:paraId="153D4C75" w14:textId="77777777" w:rsidR="00297A9C" w:rsidRPr="00C338B1" w:rsidRDefault="00297A9C" w:rsidP="00C338B1">
            <w:pPr>
              <w:jc w:val="both"/>
              <w:rPr>
                <w:rFonts w:ascii="Times New Roman" w:hAnsi="Times New Roman" w:cs="Times New Roman"/>
                <w:sz w:val="18"/>
                <w:szCs w:val="18"/>
              </w:rPr>
            </w:pPr>
          </w:p>
        </w:tc>
        <w:tc>
          <w:tcPr>
            <w:tcW w:w="2694" w:type="dxa"/>
          </w:tcPr>
          <w:p w14:paraId="6BAADD4C" w14:textId="571FF4D7" w:rsidR="00297A9C" w:rsidRDefault="00297A9C" w:rsidP="007E4159">
            <w:pPr>
              <w:jc w:val="both"/>
              <w:rPr>
                <w:rFonts w:ascii="Times New Roman" w:hAnsi="Times New Roman" w:cs="Times New Roman"/>
                <w:sz w:val="18"/>
                <w:szCs w:val="18"/>
              </w:rPr>
            </w:pPr>
            <w:r>
              <w:rPr>
                <w:rFonts w:ascii="Times New Roman" w:hAnsi="Times New Roman" w:cs="Times New Roman"/>
                <w:sz w:val="18"/>
                <w:szCs w:val="18"/>
              </w:rPr>
              <w:t>Įtrauktos į portfelį paskolos sumos padidinti negalėsite</w:t>
            </w:r>
          </w:p>
        </w:tc>
      </w:tr>
      <w:tr w:rsidR="00297A9C" w:rsidRPr="00BC5F1C" w14:paraId="58CB518E" w14:textId="77777777" w:rsidTr="00297A9C">
        <w:tc>
          <w:tcPr>
            <w:tcW w:w="1271" w:type="dxa"/>
            <w:vMerge/>
          </w:tcPr>
          <w:p w14:paraId="58E3A92B" w14:textId="77777777" w:rsidR="00297A9C" w:rsidRDefault="00297A9C" w:rsidP="007F1AA0">
            <w:pPr>
              <w:jc w:val="center"/>
              <w:rPr>
                <w:rFonts w:ascii="Times New Roman" w:hAnsi="Times New Roman" w:cs="Times New Roman"/>
                <w:sz w:val="18"/>
                <w:szCs w:val="18"/>
              </w:rPr>
            </w:pPr>
          </w:p>
        </w:tc>
        <w:tc>
          <w:tcPr>
            <w:tcW w:w="4110" w:type="dxa"/>
            <w:vMerge/>
          </w:tcPr>
          <w:p w14:paraId="30DDAF6A" w14:textId="77777777" w:rsidR="00297A9C" w:rsidRPr="00C338B1" w:rsidRDefault="00297A9C" w:rsidP="0027299F">
            <w:pPr>
              <w:jc w:val="both"/>
              <w:rPr>
                <w:rFonts w:ascii="Times New Roman" w:hAnsi="Times New Roman" w:cs="Times New Roman"/>
                <w:b/>
                <w:sz w:val="18"/>
                <w:szCs w:val="18"/>
              </w:rPr>
            </w:pPr>
          </w:p>
        </w:tc>
        <w:tc>
          <w:tcPr>
            <w:tcW w:w="4252" w:type="dxa"/>
          </w:tcPr>
          <w:p w14:paraId="439F325A" w14:textId="63C42E1D" w:rsidR="00297A9C" w:rsidRPr="00C338B1" w:rsidRDefault="00297A9C" w:rsidP="0027299F">
            <w:pPr>
              <w:jc w:val="both"/>
              <w:rPr>
                <w:rFonts w:ascii="Times New Roman" w:hAnsi="Times New Roman" w:cs="Times New Roman"/>
                <w:sz w:val="18"/>
                <w:szCs w:val="18"/>
              </w:rPr>
            </w:pPr>
            <w:r w:rsidRPr="00011818">
              <w:rPr>
                <w:rFonts w:ascii="Times New Roman" w:hAnsi="Times New Roman" w:cs="Times New Roman"/>
                <w:sz w:val="18"/>
                <w:szCs w:val="18"/>
              </w:rPr>
              <w:t>Nurodoma, jog „paskola negalės viršyti kliento darbo užmokesčio sumokėto per metus</w:t>
            </w:r>
            <w:r w:rsidRPr="007E4159">
              <w:rPr>
                <w:rFonts w:ascii="Times New Roman" w:hAnsi="Times New Roman" w:cs="Times New Roman"/>
                <w:sz w:val="18"/>
                <w:szCs w:val="18"/>
              </w:rPr>
              <w:t>“. Neįprastas reikalavimas, norėtųsi aiškumo, kaip užtikrinti tikslių duomenų gavimą. Ar bus jungtis su SODRA ar INVEGA tuos duomenis gaus ir teiks automatiškai?</w:t>
            </w:r>
          </w:p>
        </w:tc>
        <w:tc>
          <w:tcPr>
            <w:tcW w:w="2694" w:type="dxa"/>
          </w:tcPr>
          <w:p w14:paraId="4D5B6D0D" w14:textId="0000BD24" w:rsidR="00297A9C" w:rsidRDefault="00297A9C" w:rsidP="0027299F">
            <w:pPr>
              <w:jc w:val="both"/>
              <w:rPr>
                <w:rFonts w:ascii="Times New Roman" w:hAnsi="Times New Roman" w:cs="Times New Roman"/>
                <w:sz w:val="18"/>
                <w:szCs w:val="18"/>
              </w:rPr>
            </w:pPr>
            <w:r w:rsidRPr="007E4159">
              <w:rPr>
                <w:rFonts w:ascii="Times New Roman" w:hAnsi="Times New Roman" w:cs="Times New Roman"/>
                <w:sz w:val="18"/>
                <w:szCs w:val="18"/>
              </w:rPr>
              <w:t>Turėtumėte vertinti pagal Paskolos gavėjo pateiktas finansines ataskaitas</w:t>
            </w:r>
          </w:p>
        </w:tc>
      </w:tr>
      <w:tr w:rsidR="00297A9C" w:rsidRPr="00BC5F1C" w14:paraId="76EEA667" w14:textId="77777777" w:rsidTr="00297A9C">
        <w:tc>
          <w:tcPr>
            <w:tcW w:w="1271" w:type="dxa"/>
          </w:tcPr>
          <w:p w14:paraId="7C072439" w14:textId="2F0EE944" w:rsidR="00297A9C" w:rsidRDefault="00297A9C" w:rsidP="007F1AA0">
            <w:pPr>
              <w:jc w:val="center"/>
              <w:rPr>
                <w:rFonts w:ascii="Times New Roman" w:hAnsi="Times New Roman" w:cs="Times New Roman"/>
                <w:sz w:val="18"/>
                <w:szCs w:val="18"/>
              </w:rPr>
            </w:pPr>
            <w:r>
              <w:rPr>
                <w:rFonts w:ascii="Times New Roman" w:hAnsi="Times New Roman" w:cs="Times New Roman"/>
                <w:sz w:val="18"/>
                <w:szCs w:val="18"/>
              </w:rPr>
              <w:t>11.</w:t>
            </w:r>
          </w:p>
        </w:tc>
        <w:tc>
          <w:tcPr>
            <w:tcW w:w="4110" w:type="dxa"/>
          </w:tcPr>
          <w:p w14:paraId="70F1382F" w14:textId="27B2C05A" w:rsidR="00297A9C" w:rsidRDefault="00297A9C" w:rsidP="0027299F">
            <w:pPr>
              <w:jc w:val="both"/>
              <w:rPr>
                <w:rFonts w:ascii="Times New Roman" w:hAnsi="Times New Roman" w:cs="Times New Roman"/>
                <w:b/>
                <w:sz w:val="18"/>
                <w:szCs w:val="18"/>
              </w:rPr>
            </w:pPr>
            <w:r w:rsidRPr="00C338B1">
              <w:rPr>
                <w:rFonts w:ascii="Times New Roman" w:hAnsi="Times New Roman" w:cs="Times New Roman"/>
                <w:b/>
                <w:sz w:val="18"/>
                <w:szCs w:val="18"/>
              </w:rPr>
              <w:t>Garantijos mokesčio lėšų šaltinis</w:t>
            </w:r>
          </w:p>
          <w:p w14:paraId="0F89F618" w14:textId="785401B1" w:rsidR="00297A9C" w:rsidRPr="00C338B1" w:rsidRDefault="00297A9C" w:rsidP="0027299F">
            <w:pPr>
              <w:jc w:val="both"/>
              <w:rPr>
                <w:rFonts w:ascii="Times New Roman" w:hAnsi="Times New Roman" w:cs="Times New Roman"/>
                <w:bCs/>
                <w:sz w:val="18"/>
                <w:szCs w:val="18"/>
              </w:rPr>
            </w:pPr>
            <w:r w:rsidRPr="00C338B1">
              <w:rPr>
                <w:rFonts w:ascii="Times New Roman" w:hAnsi="Times New Roman" w:cs="Times New Roman"/>
                <w:bCs/>
                <w:sz w:val="18"/>
                <w:szCs w:val="18"/>
              </w:rPr>
              <w:t>Garantijos mokestį į INVEGOS fondą  moka PGP2 priemonės valdytojas</w:t>
            </w:r>
          </w:p>
          <w:p w14:paraId="3905988B" w14:textId="3F245C2E" w:rsidR="00297A9C" w:rsidRPr="00C338B1" w:rsidRDefault="00297A9C" w:rsidP="0027299F">
            <w:pPr>
              <w:jc w:val="both"/>
              <w:rPr>
                <w:rFonts w:ascii="Times New Roman" w:hAnsi="Times New Roman" w:cs="Times New Roman"/>
                <w:b/>
                <w:sz w:val="18"/>
                <w:szCs w:val="18"/>
              </w:rPr>
            </w:pPr>
          </w:p>
        </w:tc>
        <w:tc>
          <w:tcPr>
            <w:tcW w:w="4252" w:type="dxa"/>
          </w:tcPr>
          <w:p w14:paraId="26B9CD76" w14:textId="6597D587" w:rsidR="00297A9C" w:rsidRPr="00C338B1" w:rsidRDefault="00297A9C" w:rsidP="0027299F">
            <w:pPr>
              <w:jc w:val="both"/>
              <w:rPr>
                <w:rFonts w:ascii="Times New Roman" w:hAnsi="Times New Roman" w:cs="Times New Roman"/>
                <w:sz w:val="18"/>
                <w:szCs w:val="18"/>
              </w:rPr>
            </w:pPr>
            <w:r w:rsidRPr="00C338B1">
              <w:rPr>
                <w:rFonts w:ascii="Times New Roman" w:hAnsi="Times New Roman" w:cs="Times New Roman"/>
                <w:sz w:val="18"/>
                <w:szCs w:val="18"/>
              </w:rPr>
              <w:t>Garantijos mokestį turėtų mokėti Paskolos gavėjas. Mokestis galėtų būti mokamas po kurio laiko, pvz. 3, 6 mėn.</w:t>
            </w:r>
          </w:p>
        </w:tc>
        <w:tc>
          <w:tcPr>
            <w:tcW w:w="2694" w:type="dxa"/>
          </w:tcPr>
          <w:p w14:paraId="410BEDDA" w14:textId="30ACC763" w:rsidR="00297A9C" w:rsidRDefault="00297A9C" w:rsidP="0027299F">
            <w:pPr>
              <w:jc w:val="both"/>
              <w:rPr>
                <w:rFonts w:ascii="Times New Roman" w:hAnsi="Times New Roman" w:cs="Times New Roman"/>
                <w:sz w:val="18"/>
                <w:szCs w:val="18"/>
              </w:rPr>
            </w:pPr>
            <w:r>
              <w:rPr>
                <w:rFonts w:ascii="Times New Roman" w:hAnsi="Times New Roman" w:cs="Times New Roman"/>
                <w:sz w:val="18"/>
                <w:szCs w:val="18"/>
              </w:rPr>
              <w:t>Garantijos mokestį gali mokėti arba Paskolos gavėjas, arba finansų tarpininkas. Pervesti į INVEGOS fondą garantijos mokestį turi finansų tarpininkas. Mokestis turi būti sumokėtas tuomet, kai paskola įtraukiama į portfelį</w:t>
            </w:r>
          </w:p>
        </w:tc>
      </w:tr>
      <w:tr w:rsidR="00297A9C" w:rsidRPr="00BC5F1C" w14:paraId="14A6E525" w14:textId="77777777" w:rsidTr="00297A9C">
        <w:tc>
          <w:tcPr>
            <w:tcW w:w="1271" w:type="dxa"/>
            <w:vMerge w:val="restart"/>
          </w:tcPr>
          <w:p w14:paraId="6308BFB7" w14:textId="66DECF02" w:rsidR="00297A9C" w:rsidRDefault="00297A9C" w:rsidP="007F1AA0">
            <w:pPr>
              <w:jc w:val="center"/>
              <w:rPr>
                <w:rFonts w:ascii="Times New Roman" w:hAnsi="Times New Roman" w:cs="Times New Roman"/>
                <w:sz w:val="18"/>
                <w:szCs w:val="18"/>
              </w:rPr>
            </w:pPr>
            <w:r>
              <w:rPr>
                <w:rFonts w:ascii="Times New Roman" w:hAnsi="Times New Roman" w:cs="Times New Roman"/>
                <w:sz w:val="18"/>
                <w:szCs w:val="18"/>
              </w:rPr>
              <w:t>12.</w:t>
            </w:r>
          </w:p>
        </w:tc>
        <w:tc>
          <w:tcPr>
            <w:tcW w:w="4110" w:type="dxa"/>
            <w:vMerge w:val="restart"/>
          </w:tcPr>
          <w:p w14:paraId="61AFAABE" w14:textId="4F32DF95" w:rsidR="00297A9C" w:rsidRPr="00C338B1" w:rsidRDefault="00297A9C" w:rsidP="0027299F">
            <w:pPr>
              <w:jc w:val="both"/>
              <w:rPr>
                <w:rFonts w:ascii="Times New Roman" w:hAnsi="Times New Roman" w:cs="Times New Roman"/>
                <w:b/>
                <w:sz w:val="18"/>
                <w:szCs w:val="18"/>
              </w:rPr>
            </w:pPr>
            <w:r>
              <w:rPr>
                <w:rFonts w:ascii="Times New Roman" w:hAnsi="Times New Roman" w:cs="Times New Roman"/>
                <w:b/>
                <w:sz w:val="18"/>
                <w:szCs w:val="18"/>
              </w:rPr>
              <w:t>Kiti klausimai</w:t>
            </w:r>
          </w:p>
        </w:tc>
        <w:tc>
          <w:tcPr>
            <w:tcW w:w="4252" w:type="dxa"/>
          </w:tcPr>
          <w:p w14:paraId="2B361E01" w14:textId="7B471009" w:rsidR="00297A9C" w:rsidRPr="00C338B1" w:rsidRDefault="00297A9C" w:rsidP="0027299F">
            <w:pPr>
              <w:jc w:val="both"/>
              <w:rPr>
                <w:rFonts w:ascii="Times New Roman" w:hAnsi="Times New Roman" w:cs="Times New Roman"/>
                <w:sz w:val="18"/>
                <w:szCs w:val="18"/>
              </w:rPr>
            </w:pPr>
            <w:r w:rsidRPr="0060637D">
              <w:rPr>
                <w:rFonts w:ascii="Times New Roman" w:hAnsi="Times New Roman" w:cs="Times New Roman"/>
                <w:sz w:val="18"/>
                <w:szCs w:val="18"/>
              </w:rPr>
              <w:t>Beje, kuriam laikui turėtų galioti pasirašyta  su INVEGA PGP2 sutartis?</w:t>
            </w:r>
          </w:p>
        </w:tc>
        <w:tc>
          <w:tcPr>
            <w:tcW w:w="2694" w:type="dxa"/>
          </w:tcPr>
          <w:p w14:paraId="5629E42E" w14:textId="6F69FA94" w:rsidR="00297A9C" w:rsidRDefault="00297A9C" w:rsidP="0027299F">
            <w:pPr>
              <w:jc w:val="both"/>
              <w:rPr>
                <w:rFonts w:ascii="Times New Roman" w:hAnsi="Times New Roman" w:cs="Times New Roman"/>
                <w:sz w:val="18"/>
                <w:szCs w:val="18"/>
              </w:rPr>
            </w:pPr>
            <w:r w:rsidRPr="007E4159">
              <w:rPr>
                <w:rFonts w:ascii="Times New Roman" w:hAnsi="Times New Roman" w:cs="Times New Roman"/>
                <w:sz w:val="18"/>
                <w:szCs w:val="18"/>
              </w:rPr>
              <w:t>Sutartis galio</w:t>
            </w:r>
            <w:r>
              <w:rPr>
                <w:rFonts w:ascii="Times New Roman" w:hAnsi="Times New Roman" w:cs="Times New Roman"/>
                <w:sz w:val="18"/>
                <w:szCs w:val="18"/>
              </w:rPr>
              <w:t>s</w:t>
            </w:r>
            <w:r w:rsidRPr="007E4159">
              <w:rPr>
                <w:rFonts w:ascii="Times New Roman" w:hAnsi="Times New Roman" w:cs="Times New Roman"/>
                <w:sz w:val="18"/>
                <w:szCs w:val="18"/>
              </w:rPr>
              <w:t xml:space="preserve"> 8 metus arba iki šalių įsipareigojimų pagal </w:t>
            </w:r>
            <w:r>
              <w:rPr>
                <w:rFonts w:ascii="Times New Roman" w:hAnsi="Times New Roman" w:cs="Times New Roman"/>
                <w:sz w:val="18"/>
                <w:szCs w:val="18"/>
              </w:rPr>
              <w:t>s</w:t>
            </w:r>
            <w:r w:rsidRPr="007E4159">
              <w:rPr>
                <w:rFonts w:ascii="Times New Roman" w:hAnsi="Times New Roman" w:cs="Times New Roman"/>
                <w:sz w:val="18"/>
                <w:szCs w:val="18"/>
              </w:rPr>
              <w:t xml:space="preserve">utartį įvykdymo pabaigos, su galimybe, esant poreikiui, pratęsti </w:t>
            </w:r>
            <w:r>
              <w:rPr>
                <w:rFonts w:ascii="Times New Roman" w:hAnsi="Times New Roman" w:cs="Times New Roman"/>
                <w:sz w:val="18"/>
                <w:szCs w:val="18"/>
              </w:rPr>
              <w:t>s</w:t>
            </w:r>
            <w:r w:rsidRPr="007E4159">
              <w:rPr>
                <w:rFonts w:ascii="Times New Roman" w:hAnsi="Times New Roman" w:cs="Times New Roman"/>
                <w:sz w:val="18"/>
                <w:szCs w:val="18"/>
              </w:rPr>
              <w:t>utartį</w:t>
            </w:r>
          </w:p>
        </w:tc>
      </w:tr>
      <w:tr w:rsidR="00297A9C" w:rsidRPr="00BC5F1C" w14:paraId="5EACB7C4" w14:textId="77777777" w:rsidTr="00297A9C">
        <w:tc>
          <w:tcPr>
            <w:tcW w:w="1271" w:type="dxa"/>
            <w:vMerge/>
          </w:tcPr>
          <w:p w14:paraId="47D56DB9" w14:textId="77777777" w:rsidR="00297A9C" w:rsidRDefault="00297A9C" w:rsidP="0027299F">
            <w:pPr>
              <w:jc w:val="both"/>
              <w:rPr>
                <w:rFonts w:ascii="Times New Roman" w:hAnsi="Times New Roman" w:cs="Times New Roman"/>
                <w:sz w:val="18"/>
                <w:szCs w:val="18"/>
              </w:rPr>
            </w:pPr>
          </w:p>
        </w:tc>
        <w:tc>
          <w:tcPr>
            <w:tcW w:w="4110" w:type="dxa"/>
            <w:vMerge/>
          </w:tcPr>
          <w:p w14:paraId="61DF2B85" w14:textId="77777777" w:rsidR="00297A9C" w:rsidRDefault="00297A9C" w:rsidP="0027299F">
            <w:pPr>
              <w:jc w:val="both"/>
              <w:rPr>
                <w:rFonts w:ascii="Times New Roman" w:hAnsi="Times New Roman" w:cs="Times New Roman"/>
                <w:b/>
                <w:sz w:val="18"/>
                <w:szCs w:val="18"/>
              </w:rPr>
            </w:pPr>
          </w:p>
        </w:tc>
        <w:tc>
          <w:tcPr>
            <w:tcW w:w="4252" w:type="dxa"/>
          </w:tcPr>
          <w:p w14:paraId="49957AF0" w14:textId="3495BA11" w:rsidR="00297A9C" w:rsidRPr="0060637D" w:rsidRDefault="00297A9C" w:rsidP="0027299F">
            <w:pPr>
              <w:jc w:val="both"/>
              <w:rPr>
                <w:rFonts w:ascii="Times New Roman" w:hAnsi="Times New Roman" w:cs="Times New Roman"/>
                <w:sz w:val="18"/>
                <w:szCs w:val="18"/>
              </w:rPr>
            </w:pPr>
            <w:r w:rsidRPr="00011818">
              <w:rPr>
                <w:rFonts w:ascii="Times New Roman" w:hAnsi="Times New Roman" w:cs="Times New Roman"/>
                <w:sz w:val="18"/>
                <w:szCs w:val="18"/>
              </w:rPr>
              <w:t>Manome, kad išmoką galėtų būti mokama ne per 60 d. o per 15 d. Manome, kad šiuo metu, paramos atveju, tai būtų logiškiau, taip parama būtų apčiuopiamose ir naudingesnė</w:t>
            </w:r>
          </w:p>
        </w:tc>
        <w:tc>
          <w:tcPr>
            <w:tcW w:w="2694" w:type="dxa"/>
          </w:tcPr>
          <w:p w14:paraId="069A1911" w14:textId="4FBEE2E5" w:rsidR="00297A9C" w:rsidRDefault="00297A9C" w:rsidP="0027299F">
            <w:pPr>
              <w:jc w:val="both"/>
              <w:rPr>
                <w:rFonts w:ascii="Times New Roman" w:hAnsi="Times New Roman" w:cs="Times New Roman"/>
                <w:sz w:val="18"/>
                <w:szCs w:val="18"/>
              </w:rPr>
            </w:pPr>
            <w:r>
              <w:rPr>
                <w:rFonts w:ascii="Times New Roman" w:hAnsi="Times New Roman" w:cs="Times New Roman"/>
                <w:sz w:val="18"/>
                <w:szCs w:val="18"/>
              </w:rPr>
              <w:t>Nurodytas išmokos terminas yra maksimalus. Paprastai išmokos mokamos greičiau</w:t>
            </w:r>
          </w:p>
        </w:tc>
      </w:tr>
    </w:tbl>
    <w:p w14:paraId="049BEE2D" w14:textId="77777777" w:rsidR="00BC5F1C" w:rsidRPr="00BC5F1C" w:rsidRDefault="00BC5F1C">
      <w:pPr>
        <w:rPr>
          <w:rFonts w:ascii="Times New Roman" w:hAnsi="Times New Roman" w:cs="Times New Roman"/>
        </w:rPr>
      </w:pPr>
    </w:p>
    <w:sectPr w:rsidR="00BC5F1C" w:rsidRPr="00BC5F1C" w:rsidSect="00BC5F1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2BB"/>
    <w:multiLevelType w:val="hybridMultilevel"/>
    <w:tmpl w:val="EE2A4F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9894A8D"/>
    <w:multiLevelType w:val="hybridMultilevel"/>
    <w:tmpl w:val="F2B23956"/>
    <w:lvl w:ilvl="0" w:tplc="7FE021E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513113"/>
    <w:multiLevelType w:val="hybridMultilevel"/>
    <w:tmpl w:val="3FA88528"/>
    <w:lvl w:ilvl="0" w:tplc="0427000F">
      <w:start w:val="1"/>
      <w:numFmt w:val="decimal"/>
      <w:lvlText w:val="%1."/>
      <w:lvlJc w:val="left"/>
      <w:pPr>
        <w:ind w:left="720" w:hanging="360"/>
      </w:pPr>
      <w:rPr>
        <w:rFonts w:hint="default"/>
        <w:b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05296A"/>
    <w:multiLevelType w:val="hybridMultilevel"/>
    <w:tmpl w:val="B45A58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62B049C"/>
    <w:multiLevelType w:val="hybridMultilevel"/>
    <w:tmpl w:val="3C423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8244B1"/>
    <w:multiLevelType w:val="hybridMultilevel"/>
    <w:tmpl w:val="3FA88528"/>
    <w:lvl w:ilvl="0" w:tplc="0427000F">
      <w:start w:val="1"/>
      <w:numFmt w:val="decimal"/>
      <w:lvlText w:val="%1."/>
      <w:lvlJc w:val="left"/>
      <w:pPr>
        <w:ind w:left="720" w:hanging="360"/>
      </w:pPr>
      <w:rPr>
        <w:rFonts w:hint="default"/>
        <w:b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2E3273"/>
    <w:multiLevelType w:val="hybridMultilevel"/>
    <w:tmpl w:val="C54C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BC878A9"/>
    <w:multiLevelType w:val="hybridMultilevel"/>
    <w:tmpl w:val="6576DE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DD4D69"/>
    <w:multiLevelType w:val="hybridMultilevel"/>
    <w:tmpl w:val="5880B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525263"/>
    <w:multiLevelType w:val="hybridMultilevel"/>
    <w:tmpl w:val="C27EF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42313E"/>
    <w:multiLevelType w:val="hybridMultilevel"/>
    <w:tmpl w:val="6576DE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B26790A"/>
    <w:multiLevelType w:val="hybridMultilevel"/>
    <w:tmpl w:val="C54C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3E062D9"/>
    <w:multiLevelType w:val="hybridMultilevel"/>
    <w:tmpl w:val="C27EF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01109A9"/>
    <w:multiLevelType w:val="hybridMultilevel"/>
    <w:tmpl w:val="43E88228"/>
    <w:lvl w:ilvl="0" w:tplc="437C45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BCC0A87"/>
    <w:multiLevelType w:val="hybridMultilevel"/>
    <w:tmpl w:val="F2B23956"/>
    <w:lvl w:ilvl="0" w:tplc="7FE021E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
  </w:num>
  <w:num w:numId="5">
    <w:abstractNumId w:val="8"/>
  </w:num>
  <w:num w:numId="6">
    <w:abstractNumId w:val="5"/>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
  </w:num>
  <w:num w:numId="13">
    <w:abstractNumId w:val="6"/>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1C"/>
    <w:rsid w:val="00011818"/>
    <w:rsid w:val="00042099"/>
    <w:rsid w:val="0006180B"/>
    <w:rsid w:val="00061952"/>
    <w:rsid w:val="00074FF7"/>
    <w:rsid w:val="00075309"/>
    <w:rsid w:val="00080D5D"/>
    <w:rsid w:val="00095091"/>
    <w:rsid w:val="000A458B"/>
    <w:rsid w:val="000E5A6A"/>
    <w:rsid w:val="000F033C"/>
    <w:rsid w:val="00103E4F"/>
    <w:rsid w:val="00105BBF"/>
    <w:rsid w:val="001106B6"/>
    <w:rsid w:val="00113BD9"/>
    <w:rsid w:val="00120C6A"/>
    <w:rsid w:val="00140546"/>
    <w:rsid w:val="001453EC"/>
    <w:rsid w:val="001B220F"/>
    <w:rsid w:val="001D1F2B"/>
    <w:rsid w:val="001E7788"/>
    <w:rsid w:val="00237115"/>
    <w:rsid w:val="0023780E"/>
    <w:rsid w:val="002405A3"/>
    <w:rsid w:val="002711F5"/>
    <w:rsid w:val="0027299F"/>
    <w:rsid w:val="002861EB"/>
    <w:rsid w:val="00297A9C"/>
    <w:rsid w:val="002A44CB"/>
    <w:rsid w:val="002C6F12"/>
    <w:rsid w:val="002E48B9"/>
    <w:rsid w:val="00313C25"/>
    <w:rsid w:val="00321555"/>
    <w:rsid w:val="00357F5A"/>
    <w:rsid w:val="00364FD2"/>
    <w:rsid w:val="003736D1"/>
    <w:rsid w:val="003D0091"/>
    <w:rsid w:val="003D60C2"/>
    <w:rsid w:val="003E1D13"/>
    <w:rsid w:val="003E3D4D"/>
    <w:rsid w:val="003E441E"/>
    <w:rsid w:val="003F5367"/>
    <w:rsid w:val="004063F1"/>
    <w:rsid w:val="00416B83"/>
    <w:rsid w:val="00416E9D"/>
    <w:rsid w:val="0043272B"/>
    <w:rsid w:val="004566E5"/>
    <w:rsid w:val="00470282"/>
    <w:rsid w:val="00475D0C"/>
    <w:rsid w:val="004A6DF7"/>
    <w:rsid w:val="004E08B4"/>
    <w:rsid w:val="004E092E"/>
    <w:rsid w:val="004E72B7"/>
    <w:rsid w:val="004F2212"/>
    <w:rsid w:val="00503F5E"/>
    <w:rsid w:val="005163D4"/>
    <w:rsid w:val="005462F1"/>
    <w:rsid w:val="00575D8E"/>
    <w:rsid w:val="005B367D"/>
    <w:rsid w:val="005F28F4"/>
    <w:rsid w:val="0060637D"/>
    <w:rsid w:val="0061330C"/>
    <w:rsid w:val="0066528B"/>
    <w:rsid w:val="00671FFD"/>
    <w:rsid w:val="006A4ED3"/>
    <w:rsid w:val="006D70EE"/>
    <w:rsid w:val="006F6AE5"/>
    <w:rsid w:val="00711AAE"/>
    <w:rsid w:val="00723118"/>
    <w:rsid w:val="007B124A"/>
    <w:rsid w:val="007E4159"/>
    <w:rsid w:val="007F1AA0"/>
    <w:rsid w:val="00800EF5"/>
    <w:rsid w:val="00832AA1"/>
    <w:rsid w:val="00893F62"/>
    <w:rsid w:val="008E1AD2"/>
    <w:rsid w:val="008E35CC"/>
    <w:rsid w:val="008F4F40"/>
    <w:rsid w:val="008F5C6F"/>
    <w:rsid w:val="009001BB"/>
    <w:rsid w:val="0090364B"/>
    <w:rsid w:val="0091117F"/>
    <w:rsid w:val="009312FA"/>
    <w:rsid w:val="00942220"/>
    <w:rsid w:val="009867FF"/>
    <w:rsid w:val="009A4AD0"/>
    <w:rsid w:val="009B098B"/>
    <w:rsid w:val="009C28EE"/>
    <w:rsid w:val="009F4A33"/>
    <w:rsid w:val="00A03194"/>
    <w:rsid w:val="00A03A2A"/>
    <w:rsid w:val="00A3602B"/>
    <w:rsid w:val="00A47CDD"/>
    <w:rsid w:val="00A8128F"/>
    <w:rsid w:val="00A871A6"/>
    <w:rsid w:val="00AA2BB7"/>
    <w:rsid w:val="00AB1850"/>
    <w:rsid w:val="00AB5EA0"/>
    <w:rsid w:val="00AD3CD5"/>
    <w:rsid w:val="00AD415F"/>
    <w:rsid w:val="00B01AC5"/>
    <w:rsid w:val="00B04643"/>
    <w:rsid w:val="00B04F35"/>
    <w:rsid w:val="00B10C87"/>
    <w:rsid w:val="00B226DD"/>
    <w:rsid w:val="00B62A5A"/>
    <w:rsid w:val="00B8584D"/>
    <w:rsid w:val="00BB230C"/>
    <w:rsid w:val="00BB43E2"/>
    <w:rsid w:val="00BC5F1C"/>
    <w:rsid w:val="00BE78F2"/>
    <w:rsid w:val="00BF07D3"/>
    <w:rsid w:val="00BF3A10"/>
    <w:rsid w:val="00C047D5"/>
    <w:rsid w:val="00C12A87"/>
    <w:rsid w:val="00C338B1"/>
    <w:rsid w:val="00C51D8E"/>
    <w:rsid w:val="00C70DA0"/>
    <w:rsid w:val="00C85DA3"/>
    <w:rsid w:val="00CB2E09"/>
    <w:rsid w:val="00CC1E88"/>
    <w:rsid w:val="00CE209D"/>
    <w:rsid w:val="00CF19DF"/>
    <w:rsid w:val="00D60352"/>
    <w:rsid w:val="00D930AA"/>
    <w:rsid w:val="00DC0801"/>
    <w:rsid w:val="00DD4BA7"/>
    <w:rsid w:val="00DD5EF0"/>
    <w:rsid w:val="00DF41F0"/>
    <w:rsid w:val="00E01ECF"/>
    <w:rsid w:val="00E24173"/>
    <w:rsid w:val="00E31B23"/>
    <w:rsid w:val="00E35A4B"/>
    <w:rsid w:val="00E64588"/>
    <w:rsid w:val="00E72073"/>
    <w:rsid w:val="00E74315"/>
    <w:rsid w:val="00E751C4"/>
    <w:rsid w:val="00EE4AF7"/>
    <w:rsid w:val="00EF04D9"/>
    <w:rsid w:val="00F00B8A"/>
    <w:rsid w:val="00FB04C6"/>
    <w:rsid w:val="00FB2056"/>
    <w:rsid w:val="00FC10BC"/>
    <w:rsid w:val="00FF4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0F31"/>
  <w15:chartTrackingRefBased/>
  <w15:docId w15:val="{9F4743A4-9839-4AC4-A41B-95950F5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BF"/>
    <w:pPr>
      <w:ind w:left="720"/>
      <w:contextualSpacing/>
    </w:pPr>
  </w:style>
  <w:style w:type="character" w:styleId="CommentReference">
    <w:name w:val="annotation reference"/>
    <w:basedOn w:val="DefaultParagraphFont"/>
    <w:semiHidden/>
    <w:unhideWhenUsed/>
    <w:rsid w:val="005B367D"/>
    <w:rPr>
      <w:sz w:val="16"/>
      <w:szCs w:val="16"/>
    </w:rPr>
  </w:style>
  <w:style w:type="paragraph" w:styleId="CommentText">
    <w:name w:val="annotation text"/>
    <w:basedOn w:val="Normal"/>
    <w:link w:val="CommentTextChar"/>
    <w:unhideWhenUsed/>
    <w:rsid w:val="005B367D"/>
    <w:pPr>
      <w:spacing w:line="240" w:lineRule="auto"/>
    </w:pPr>
    <w:rPr>
      <w:sz w:val="20"/>
      <w:szCs w:val="20"/>
    </w:rPr>
  </w:style>
  <w:style w:type="character" w:customStyle="1" w:styleId="CommentTextChar">
    <w:name w:val="Comment Text Char"/>
    <w:basedOn w:val="DefaultParagraphFont"/>
    <w:link w:val="CommentText"/>
    <w:rsid w:val="005B367D"/>
    <w:rPr>
      <w:sz w:val="20"/>
      <w:szCs w:val="20"/>
    </w:rPr>
  </w:style>
  <w:style w:type="paragraph" w:styleId="CommentSubject">
    <w:name w:val="annotation subject"/>
    <w:basedOn w:val="CommentText"/>
    <w:next w:val="CommentText"/>
    <w:link w:val="CommentSubjectChar"/>
    <w:uiPriority w:val="99"/>
    <w:semiHidden/>
    <w:unhideWhenUsed/>
    <w:rsid w:val="005B367D"/>
    <w:rPr>
      <w:b/>
      <w:bCs/>
    </w:rPr>
  </w:style>
  <w:style w:type="character" w:customStyle="1" w:styleId="CommentSubjectChar">
    <w:name w:val="Comment Subject Char"/>
    <w:basedOn w:val="CommentTextChar"/>
    <w:link w:val="CommentSubject"/>
    <w:uiPriority w:val="99"/>
    <w:semiHidden/>
    <w:rsid w:val="005B367D"/>
    <w:rPr>
      <w:b/>
      <w:bCs/>
      <w:sz w:val="20"/>
      <w:szCs w:val="20"/>
    </w:rPr>
  </w:style>
  <w:style w:type="paragraph" w:styleId="BalloonText">
    <w:name w:val="Balloon Text"/>
    <w:basedOn w:val="Normal"/>
    <w:link w:val="BalloonTextChar"/>
    <w:uiPriority w:val="99"/>
    <w:semiHidden/>
    <w:unhideWhenUsed/>
    <w:rsid w:val="005B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160">
      <w:bodyDiv w:val="1"/>
      <w:marLeft w:val="0"/>
      <w:marRight w:val="0"/>
      <w:marTop w:val="0"/>
      <w:marBottom w:val="0"/>
      <w:divBdr>
        <w:top w:val="none" w:sz="0" w:space="0" w:color="auto"/>
        <w:left w:val="none" w:sz="0" w:space="0" w:color="auto"/>
        <w:bottom w:val="none" w:sz="0" w:space="0" w:color="auto"/>
        <w:right w:val="none" w:sz="0" w:space="0" w:color="auto"/>
      </w:divBdr>
    </w:div>
    <w:div w:id="142086014">
      <w:bodyDiv w:val="1"/>
      <w:marLeft w:val="0"/>
      <w:marRight w:val="0"/>
      <w:marTop w:val="0"/>
      <w:marBottom w:val="0"/>
      <w:divBdr>
        <w:top w:val="none" w:sz="0" w:space="0" w:color="auto"/>
        <w:left w:val="none" w:sz="0" w:space="0" w:color="auto"/>
        <w:bottom w:val="none" w:sz="0" w:space="0" w:color="auto"/>
        <w:right w:val="none" w:sz="0" w:space="0" w:color="auto"/>
      </w:divBdr>
    </w:div>
    <w:div w:id="508956258">
      <w:bodyDiv w:val="1"/>
      <w:marLeft w:val="0"/>
      <w:marRight w:val="0"/>
      <w:marTop w:val="0"/>
      <w:marBottom w:val="0"/>
      <w:divBdr>
        <w:top w:val="none" w:sz="0" w:space="0" w:color="auto"/>
        <w:left w:val="none" w:sz="0" w:space="0" w:color="auto"/>
        <w:bottom w:val="none" w:sz="0" w:space="0" w:color="auto"/>
        <w:right w:val="none" w:sz="0" w:space="0" w:color="auto"/>
      </w:divBdr>
    </w:div>
    <w:div w:id="510995012">
      <w:bodyDiv w:val="1"/>
      <w:marLeft w:val="0"/>
      <w:marRight w:val="0"/>
      <w:marTop w:val="0"/>
      <w:marBottom w:val="0"/>
      <w:divBdr>
        <w:top w:val="none" w:sz="0" w:space="0" w:color="auto"/>
        <w:left w:val="none" w:sz="0" w:space="0" w:color="auto"/>
        <w:bottom w:val="none" w:sz="0" w:space="0" w:color="auto"/>
        <w:right w:val="none" w:sz="0" w:space="0" w:color="auto"/>
      </w:divBdr>
    </w:div>
    <w:div w:id="598753589">
      <w:bodyDiv w:val="1"/>
      <w:marLeft w:val="0"/>
      <w:marRight w:val="0"/>
      <w:marTop w:val="0"/>
      <w:marBottom w:val="0"/>
      <w:divBdr>
        <w:top w:val="none" w:sz="0" w:space="0" w:color="auto"/>
        <w:left w:val="none" w:sz="0" w:space="0" w:color="auto"/>
        <w:bottom w:val="none" w:sz="0" w:space="0" w:color="auto"/>
        <w:right w:val="none" w:sz="0" w:space="0" w:color="auto"/>
      </w:divBdr>
    </w:div>
    <w:div w:id="601574910">
      <w:bodyDiv w:val="1"/>
      <w:marLeft w:val="0"/>
      <w:marRight w:val="0"/>
      <w:marTop w:val="0"/>
      <w:marBottom w:val="0"/>
      <w:divBdr>
        <w:top w:val="none" w:sz="0" w:space="0" w:color="auto"/>
        <w:left w:val="none" w:sz="0" w:space="0" w:color="auto"/>
        <w:bottom w:val="none" w:sz="0" w:space="0" w:color="auto"/>
        <w:right w:val="none" w:sz="0" w:space="0" w:color="auto"/>
      </w:divBdr>
    </w:div>
    <w:div w:id="736631315">
      <w:bodyDiv w:val="1"/>
      <w:marLeft w:val="0"/>
      <w:marRight w:val="0"/>
      <w:marTop w:val="0"/>
      <w:marBottom w:val="0"/>
      <w:divBdr>
        <w:top w:val="none" w:sz="0" w:space="0" w:color="auto"/>
        <w:left w:val="none" w:sz="0" w:space="0" w:color="auto"/>
        <w:bottom w:val="none" w:sz="0" w:space="0" w:color="auto"/>
        <w:right w:val="none" w:sz="0" w:space="0" w:color="auto"/>
      </w:divBdr>
      <w:divsChild>
        <w:div w:id="411925981">
          <w:marLeft w:val="0"/>
          <w:marRight w:val="0"/>
          <w:marTop w:val="0"/>
          <w:marBottom w:val="0"/>
          <w:divBdr>
            <w:top w:val="none" w:sz="0" w:space="0" w:color="auto"/>
            <w:left w:val="none" w:sz="0" w:space="0" w:color="auto"/>
            <w:bottom w:val="none" w:sz="0" w:space="0" w:color="auto"/>
            <w:right w:val="none" w:sz="0" w:space="0" w:color="auto"/>
          </w:divBdr>
          <w:divsChild>
            <w:div w:id="36204315">
              <w:marLeft w:val="0"/>
              <w:marRight w:val="0"/>
              <w:marTop w:val="0"/>
              <w:marBottom w:val="0"/>
              <w:divBdr>
                <w:top w:val="none" w:sz="0" w:space="0" w:color="auto"/>
                <w:left w:val="none" w:sz="0" w:space="0" w:color="auto"/>
                <w:bottom w:val="none" w:sz="0" w:space="0" w:color="auto"/>
                <w:right w:val="none" w:sz="0" w:space="0" w:color="auto"/>
              </w:divBdr>
            </w:div>
            <w:div w:id="2124762180">
              <w:marLeft w:val="0"/>
              <w:marRight w:val="0"/>
              <w:marTop w:val="0"/>
              <w:marBottom w:val="0"/>
              <w:divBdr>
                <w:top w:val="none" w:sz="0" w:space="0" w:color="auto"/>
                <w:left w:val="none" w:sz="0" w:space="0" w:color="auto"/>
                <w:bottom w:val="none" w:sz="0" w:space="0" w:color="auto"/>
                <w:right w:val="none" w:sz="0" w:space="0" w:color="auto"/>
              </w:divBdr>
            </w:div>
            <w:div w:id="1751539970">
              <w:marLeft w:val="0"/>
              <w:marRight w:val="0"/>
              <w:marTop w:val="0"/>
              <w:marBottom w:val="0"/>
              <w:divBdr>
                <w:top w:val="none" w:sz="0" w:space="0" w:color="auto"/>
                <w:left w:val="none" w:sz="0" w:space="0" w:color="auto"/>
                <w:bottom w:val="none" w:sz="0" w:space="0" w:color="auto"/>
                <w:right w:val="none" w:sz="0" w:space="0" w:color="auto"/>
              </w:divBdr>
            </w:div>
            <w:div w:id="902376865">
              <w:marLeft w:val="0"/>
              <w:marRight w:val="0"/>
              <w:marTop w:val="0"/>
              <w:marBottom w:val="0"/>
              <w:divBdr>
                <w:top w:val="none" w:sz="0" w:space="0" w:color="auto"/>
                <w:left w:val="none" w:sz="0" w:space="0" w:color="auto"/>
                <w:bottom w:val="none" w:sz="0" w:space="0" w:color="auto"/>
                <w:right w:val="none" w:sz="0" w:space="0" w:color="auto"/>
              </w:divBdr>
            </w:div>
          </w:divsChild>
        </w:div>
        <w:div w:id="630214973">
          <w:marLeft w:val="0"/>
          <w:marRight w:val="0"/>
          <w:marTop w:val="0"/>
          <w:marBottom w:val="0"/>
          <w:divBdr>
            <w:top w:val="none" w:sz="0" w:space="0" w:color="auto"/>
            <w:left w:val="none" w:sz="0" w:space="0" w:color="auto"/>
            <w:bottom w:val="none" w:sz="0" w:space="0" w:color="auto"/>
            <w:right w:val="none" w:sz="0" w:space="0" w:color="auto"/>
          </w:divBdr>
        </w:div>
      </w:divsChild>
    </w:div>
    <w:div w:id="782119222">
      <w:bodyDiv w:val="1"/>
      <w:marLeft w:val="0"/>
      <w:marRight w:val="0"/>
      <w:marTop w:val="0"/>
      <w:marBottom w:val="0"/>
      <w:divBdr>
        <w:top w:val="none" w:sz="0" w:space="0" w:color="auto"/>
        <w:left w:val="none" w:sz="0" w:space="0" w:color="auto"/>
        <w:bottom w:val="none" w:sz="0" w:space="0" w:color="auto"/>
        <w:right w:val="none" w:sz="0" w:space="0" w:color="auto"/>
      </w:divBdr>
    </w:div>
    <w:div w:id="7835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19550</Words>
  <Characters>11144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Šveikauskienė</dc:creator>
  <cp:keywords/>
  <dc:description/>
  <cp:lastModifiedBy>Sigita Rutkauskaitė</cp:lastModifiedBy>
  <cp:revision>5</cp:revision>
  <dcterms:created xsi:type="dcterms:W3CDTF">2020-05-17T16:32:00Z</dcterms:created>
  <dcterms:modified xsi:type="dcterms:W3CDTF">2020-05-18T12:09:00Z</dcterms:modified>
</cp:coreProperties>
</file>